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24"/>
      <w:bookmarkStart w:id="2" w:name="OLE_LINK13"/>
      <w:bookmarkStart w:id="3" w:name="OLE_LINK12"/>
      <w:bookmarkStart w:id="4" w:name="OLE_LINK33"/>
      <w:bookmarkStart w:id="5" w:name="OLE_LINK34"/>
      <w:r>
        <w:rPr>
          <w:rFonts w:hint="eastAsia" w:ascii="Arial" w:hAnsi="Arial" w:eastAsia="宋体"/>
          <w:b/>
          <w:lang w:eastAsia="ja-JP"/>
        </w:rPr>
        <w:t>3GPP TSG RAN WG1 #</w:t>
      </w:r>
      <w:r>
        <w:rPr>
          <w:rFonts w:hint="eastAsia" w:ascii="Arial" w:hAnsi="Arial" w:eastAsia="宋体"/>
          <w:b/>
        </w:rPr>
        <w:t xml:space="preserve">111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R1</w:t>
      </w:r>
      <w:r>
        <w:rPr>
          <w:rFonts w:hint="eastAsia" w:ascii="Arial" w:hAnsi="Arial" w:eastAsia="宋体"/>
          <w:b/>
        </w:rPr>
        <w:t>-</w:t>
      </w:r>
      <w:r>
        <w:rPr>
          <w:rFonts w:hint="eastAsia" w:ascii="Arial" w:hAnsi="Arial" w:eastAsia="宋体"/>
          <w:b/>
          <w:lang w:eastAsia="ja-JP"/>
        </w:rPr>
        <w:t>2</w:t>
      </w:r>
      <w:r>
        <w:rPr>
          <w:rFonts w:hint="eastAsia" w:ascii="Arial" w:hAnsi="Arial" w:eastAsia="宋体"/>
          <w:b/>
        </w:rPr>
        <w:t>210938</w:t>
      </w:r>
    </w:p>
    <w:bookmarkEnd w:id="0"/>
    <w:p>
      <w:pPr>
        <w:tabs>
          <w:tab w:val="center" w:pos="4536"/>
          <w:tab w:val="right" w:pos="9072"/>
        </w:tabs>
        <w:rPr>
          <w:rFonts w:ascii="Arial" w:hAnsi="Arial" w:eastAsia="MS Mincho" w:cs="Arial"/>
          <w:b/>
          <w:bCs/>
          <w:lang w:eastAsia="ja-JP"/>
        </w:rPr>
      </w:pPr>
      <w:r>
        <w:rPr>
          <w:rFonts w:ascii="Arial" w:hAnsi="Arial" w:eastAsia="MS Mincho" w:cs="Arial"/>
          <w:b/>
          <w:bCs/>
          <w:lang w:eastAsia="ja-JP"/>
        </w:rPr>
        <w:t>Toulouse, France, November 14</w:t>
      </w:r>
      <w:r>
        <w:rPr>
          <w:rFonts w:ascii="Arial" w:hAnsi="Arial" w:eastAsia="MS Mincho" w:cs="Arial"/>
          <w:b/>
          <w:bCs/>
          <w:vertAlign w:val="superscript"/>
          <w:lang w:eastAsia="ja-JP"/>
        </w:rPr>
        <w:t>th</w:t>
      </w:r>
      <w:r>
        <w:rPr>
          <w:rFonts w:ascii="Arial" w:hAnsi="Arial" w:eastAsia="MS Mincho" w:cs="Arial"/>
          <w:b/>
          <w:bCs/>
          <w:lang w:eastAsia="ja-JP"/>
        </w:rPr>
        <w:t xml:space="preserve"> – 18</w:t>
      </w:r>
      <w:r>
        <w:rPr>
          <w:rFonts w:ascii="Arial" w:hAnsi="Arial" w:eastAsia="MS Mincho" w:cs="Arial"/>
          <w:b/>
          <w:bCs/>
          <w:vertAlign w:val="superscript"/>
          <w:lang w:eastAsia="ja-JP"/>
        </w:rPr>
        <w:t>th</w:t>
      </w:r>
      <w:r>
        <w:rPr>
          <w:rFonts w:ascii="Arial" w:hAnsi="Arial" w:eastAsia="MS Mincho" w:cs="Arial"/>
          <w:b/>
          <w:bCs/>
          <w:lang w:eastAsia="ja-JP"/>
        </w:rPr>
        <w:t>, 2022</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 xml:space="preserve">Title:            </w:t>
      </w:r>
      <w:bookmarkStart w:id="6" w:name="OLE_LINK28"/>
      <w:r>
        <w:rPr>
          <w:rFonts w:hint="eastAsia" w:ascii="Arial" w:hAnsi="Arial" w:eastAsia="宋体"/>
          <w:b/>
        </w:rPr>
        <w:t>DMRS enhancement for UL/DL MU-MIMO and 8 Tx UL SU-MIMO</w:t>
      </w:r>
      <w:bookmarkEnd w:id="1"/>
      <w:bookmarkEnd w:id="6"/>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9.1.3.1</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7" w:name="OLE_LINK3"/>
      <w:r>
        <w:rPr>
          <w:rFonts w:ascii="Times New Roman" w:hAnsi="Times New Roman"/>
          <w:sz w:val="28"/>
          <w:szCs w:val="28"/>
          <w:lang w:val="en-US"/>
        </w:rPr>
        <w:t>Introduction</w:t>
      </w:r>
    </w:p>
    <w:bookmarkEnd w:id="7"/>
    <w:p>
      <w:pPr>
        <w:snapToGrid w:val="0"/>
        <w:spacing w:before="120" w:after="180" w:afterLines="50" w:line="288" w:lineRule="auto"/>
        <w:jc w:val="both"/>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94</w:t>
      </w:r>
      <w:r>
        <w:rPr>
          <w:rFonts w:hint="eastAsia" w:ascii="Times New Roman" w:hAnsi="Times New Roman"/>
          <w:sz w:val="20"/>
          <w:szCs w:val="20"/>
          <w:lang w:val="en-GB"/>
        </w:rPr>
        <w:t>, Rel-1</w:t>
      </w:r>
      <w:r>
        <w:rPr>
          <w:rFonts w:hint="eastAsia" w:ascii="Times New Roman" w:hAnsi="Times New Roman"/>
          <w:sz w:val="20"/>
          <w:szCs w:val="20"/>
        </w:rPr>
        <w:t>8</w:t>
      </w:r>
      <w:r>
        <w:rPr>
          <w:rFonts w:hint="eastAsia" w:ascii="Times New Roman" w:hAnsi="Times New Roman"/>
          <w:sz w:val="20"/>
          <w:szCs w:val="20"/>
          <w:lang w:val="en-GB"/>
        </w:rPr>
        <w:t xml:space="preserve">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 xml:space="preserve">MIMO is approved </w:t>
      </w:r>
      <w:r>
        <w:rPr>
          <w:rFonts w:hint="eastAsia" w:ascii="Times New Roman" w:hAnsi="Times New Roman"/>
          <w:sz w:val="20"/>
          <w:szCs w:val="20"/>
        </w:rPr>
        <w:t xml:space="preserve">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DMRS enhancements</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 xml:space="preserve">both </w:t>
      </w:r>
      <w:r>
        <w:rPr>
          <w:rFonts w:hint="eastAsia" w:ascii="Times New Roman" w:hAnsi="Times New Roman"/>
          <w:sz w:val="20"/>
          <w:szCs w:val="20"/>
        </w:rPr>
        <w:t xml:space="preserve">UL </w:t>
      </w:r>
      <w:r>
        <w:rPr>
          <w:rFonts w:hint="eastAsia" w:ascii="Times New Roman" w:hAnsi="Times New Roman"/>
          <w:sz w:val="20"/>
          <w:szCs w:val="20"/>
          <w:lang w:val="en-GB"/>
        </w:rPr>
        <w:t xml:space="preserve">and </w:t>
      </w:r>
      <w:r>
        <w:rPr>
          <w:rFonts w:hint="eastAsia" w:ascii="Times New Roman" w:hAnsi="Times New Roman"/>
          <w:sz w:val="20"/>
          <w:szCs w:val="20"/>
        </w:rPr>
        <w:t>DL</w:t>
      </w:r>
      <w:r>
        <w:rPr>
          <w:rFonts w:hint="eastAsia" w:ascii="Times New Roman" w:hAnsi="Times New Roman"/>
          <w:sz w:val="20"/>
          <w:szCs w:val="20"/>
          <w:lang w:val="en-GB"/>
        </w:rPr>
        <w:t>. The detail is given as follows</w:t>
      </w:r>
      <w:r>
        <w:rPr>
          <w:rFonts w:hint="eastAsia" w:ascii="Times New Roman" w:hAnsi="Times New Roman"/>
          <w:sz w:val="20"/>
          <w:szCs w:val="20"/>
        </w:rPr>
        <w:t xml:space="preserve"> </w:t>
      </w:r>
      <w:r>
        <w:rPr>
          <w:rFonts w:hint="eastAsia" w:ascii="Times New Roman" w:hAnsi="Times New Roman"/>
          <w:sz w:val="20"/>
          <w:szCs w:val="20"/>
          <w:lang w:val="en-GB"/>
        </w:rPr>
        <w:t>[1].</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en-GB"/>
              </w:rPr>
            </w:pPr>
            <w:r>
              <w:rPr>
                <w:rFonts w:hint="eastAsia" w:ascii="Times New Roman" w:hAnsi="Times New Roman" w:eastAsia="宋体"/>
                <w:bCs/>
                <w:sz w:val="20"/>
                <w:szCs w:val="20"/>
              </w:rPr>
              <w:t xml:space="preserve">3. </w:t>
            </w:r>
            <w:r>
              <w:rPr>
                <w:rFonts w:ascii="Times New Roman" w:hAnsi="Times New Roman" w:eastAsia="宋体"/>
                <w:bCs/>
                <w:sz w:val="20"/>
                <w:szCs w:val="20"/>
                <w:lang w:eastAsia="en-GB"/>
              </w:rPr>
              <w:t>Study, and if justified, specify larger number of orthogonal DMRS ports for downlink and uplink MU-MIMO (without increasing the DM-RS overhead), only for CP-OFDM,</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en-GB"/>
              </w:rPr>
            </w:pPr>
            <w:r>
              <w:rPr>
                <w:rFonts w:ascii="Times New Roman" w:hAnsi="Times New Roman" w:eastAsia="宋体"/>
                <w:bCs/>
                <w:sz w:val="20"/>
                <w:szCs w:val="20"/>
                <w:lang w:eastAsia="en-GB"/>
              </w:rPr>
              <w:t>Striving for a common design between DL and UL DMRS</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sz w:val="20"/>
                <w:szCs w:val="20"/>
              </w:rPr>
            </w:pPr>
            <w:r>
              <w:rPr>
                <w:rFonts w:ascii="Times New Roman" w:hAnsi="Times New Roman" w:eastAsia="宋体"/>
                <w:bCs/>
                <w:sz w:val="20"/>
                <w:szCs w:val="20"/>
                <w:lang w:eastAsia="en-GB"/>
              </w:rPr>
              <w:t>Up to 24 orthogonal DM-RS ports, where for each applicable DMRS type, the maximum number of orthogonal ports is doubled for both single- and double-symbol DMRS</w:t>
            </w:r>
          </w:p>
          <w:p>
            <w:pPr>
              <w:numPr>
                <w:ilvl w:val="0"/>
                <w:numId w:val="3"/>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rPr>
            </w:pPr>
            <w:r>
              <w:rPr>
                <w:rFonts w:hint="eastAsia" w:ascii="Times New Roman" w:hAnsi="Times New Roman" w:eastAsia="宋体"/>
                <w:bCs/>
                <w:sz w:val="20"/>
                <w:szCs w:val="20"/>
              </w:rPr>
              <w:t>Study, and if justified, specify UL DMRS, SRS, SRI, and TPMI (including codebook) enhancements to enable 8 Tx UL operation to support 4 and more layers per UE in UL targeting CPE/FWA/vehicle/Industrial devices</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en-GB"/>
              </w:rPr>
            </w:pPr>
            <w:r>
              <w:rPr>
                <w:rFonts w:ascii="Times New Roman" w:hAnsi="Times New Roman" w:eastAsia="宋体"/>
                <w:bCs/>
                <w:sz w:val="20"/>
                <w:szCs w:val="20"/>
                <w:lang w:eastAsia="en-GB"/>
              </w:rPr>
              <w:t>Note: Potential restrictions on the scope of this objective (including coherence assumption, full/non-full power modes) will be identified as part of the study.</w:t>
            </w:r>
          </w:p>
          <w:p>
            <w:pPr>
              <w:overflowPunct w:val="0"/>
              <w:autoSpaceDE w:val="0"/>
              <w:autoSpaceDN w:val="0"/>
              <w:adjustRightInd w:val="0"/>
              <w:snapToGrid w:val="0"/>
              <w:spacing w:after="0" w:line="288" w:lineRule="auto"/>
              <w:jc w:val="both"/>
              <w:textAlignment w:val="baseline"/>
              <w:rPr>
                <w:rFonts w:ascii="Times New Roman" w:hAnsi="Times New Roman"/>
                <w:sz w:val="20"/>
                <w:szCs w:val="20"/>
              </w:rPr>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views on the</w:t>
      </w:r>
      <w:r>
        <w:rPr>
          <w:rFonts w:hint="eastAsia" w:ascii="Times New Roman" w:hAnsi="Times New Roman"/>
          <w:sz w:val="20"/>
          <w:szCs w:val="20"/>
        </w:rPr>
        <w:t xml:space="preserve"> supporting of DMRS enhancements for MU-MIMO and 8 Tx UL SU-MIMO. </w:t>
      </w:r>
    </w:p>
    <w:p>
      <w:pPr>
        <w:pStyle w:val="2"/>
        <w:rPr>
          <w:rFonts w:ascii="Times New Roman" w:hAnsi="Times New Roman"/>
          <w:sz w:val="28"/>
          <w:szCs w:val="28"/>
          <w:lang w:val="en-US"/>
        </w:rPr>
      </w:pPr>
      <w:r>
        <w:rPr>
          <w:rFonts w:ascii="Times New Roman" w:hAnsi="Times New Roman"/>
          <w:sz w:val="28"/>
          <w:szCs w:val="28"/>
          <w:lang w:val="en-US"/>
        </w:rPr>
        <w:t>DMRS enhancement for UL/DL MU-MIMO</w:t>
      </w:r>
    </w:p>
    <w:p>
      <w:pPr>
        <w:snapToGrid w:val="0"/>
        <w:spacing w:before="180" w:beforeLines="50" w:after="180" w:afterLines="50" w:line="288" w:lineRule="auto"/>
        <w:jc w:val="both"/>
      </w:pPr>
      <w:r>
        <w:rPr>
          <w:rFonts w:hint="eastAsia" w:ascii="Times New Roman" w:hAnsi="Times New Roman"/>
          <w:sz w:val="20"/>
          <w:szCs w:val="20"/>
        </w:rPr>
        <w:t xml:space="preserve">For the existing legacy UE(s), the backward compatibility should be fully considered for this enhancement on increasing the number of orthogonal DMRS ports, and then we need to modify the DMRS port/OCC mapping based on the legacy DMRS pattern(s). </w:t>
      </w:r>
      <w:bookmarkStart w:id="8" w:name="OLE_LINK21"/>
      <w:bookmarkStart w:id="9" w:name="OLE_LINK15"/>
      <w:bookmarkStart w:id="10" w:name="OLE_LINK18"/>
    </w:p>
    <w:p>
      <w:pPr>
        <w:pStyle w:val="3"/>
        <w:numPr>
          <w:ilvl w:val="1"/>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Down selection on c</w:t>
      </w:r>
      <w:r>
        <w:rPr>
          <w:rFonts w:ascii="Times New Roman" w:hAnsi="Times New Roman"/>
          <w:b/>
          <w:bCs/>
          <w:sz w:val="24"/>
          <w:szCs w:val="24"/>
        </w:rPr>
        <w:t xml:space="preserve">andidate schemes for </w:t>
      </w:r>
      <w:r>
        <w:rPr>
          <w:rFonts w:hint="eastAsia" w:ascii="Times New Roman" w:hAnsi="Times New Roman"/>
          <w:b/>
          <w:bCs/>
          <w:sz w:val="24"/>
          <w:szCs w:val="24"/>
        </w:rPr>
        <w:t>larger number of orthogonal DMRS ports</w:t>
      </w:r>
    </w:p>
    <w:p>
      <w:p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 xml:space="preserve">In current specification, for both type 1 and type 2 DMRS, FD-OCC with length 2 for one DMRS port is </w:t>
      </w:r>
      <w:r>
        <w:rPr>
          <w:rFonts w:hint="eastAsia" w:ascii="Times New Roman" w:hAnsi="Times New Roman"/>
          <w:sz w:val="20"/>
          <w:szCs w:val="20"/>
        </w:rPr>
        <w:t xml:space="preserve">used </w:t>
      </w:r>
      <w:r>
        <w:rPr>
          <w:rFonts w:ascii="Times New Roman" w:hAnsi="Times New Roman"/>
          <w:sz w:val="20"/>
          <w:szCs w:val="20"/>
        </w:rPr>
        <w:t>for both single</w:t>
      </w:r>
      <w:r>
        <w:rPr>
          <w:rFonts w:hint="eastAsia" w:ascii="Times New Roman" w:hAnsi="Times New Roman"/>
          <w:sz w:val="20"/>
          <w:szCs w:val="20"/>
        </w:rPr>
        <w:t>-</w:t>
      </w:r>
      <w:r>
        <w:rPr>
          <w:rFonts w:ascii="Times New Roman" w:hAnsi="Times New Roman"/>
          <w:sz w:val="20"/>
          <w:szCs w:val="20"/>
        </w:rPr>
        <w:t>symbol DMRS and double</w:t>
      </w:r>
      <w:r>
        <w:rPr>
          <w:rFonts w:hint="eastAsia" w:ascii="Times New Roman" w:hAnsi="Times New Roman"/>
          <w:sz w:val="20"/>
          <w:szCs w:val="20"/>
        </w:rPr>
        <w:t>-</w:t>
      </w:r>
      <w:r>
        <w:rPr>
          <w:rFonts w:ascii="Times New Roman" w:hAnsi="Times New Roman"/>
          <w:sz w:val="20"/>
          <w:szCs w:val="20"/>
        </w:rPr>
        <w:t xml:space="preserve">symbol DMRS. TD-OCC is </w:t>
      </w:r>
      <w:r>
        <w:rPr>
          <w:rFonts w:hint="eastAsia" w:ascii="Times New Roman" w:hAnsi="Times New Roman"/>
          <w:sz w:val="20"/>
          <w:szCs w:val="20"/>
        </w:rPr>
        <w:t xml:space="preserve">used </w:t>
      </w:r>
      <w:r>
        <w:rPr>
          <w:rFonts w:ascii="Times New Roman" w:hAnsi="Times New Roman"/>
          <w:sz w:val="20"/>
          <w:szCs w:val="20"/>
        </w:rPr>
        <w:t>for double symbol DMRS, and different CDM groups are FDMed in the frequency domain. Hence</w:t>
      </w:r>
      <w:r>
        <w:rPr>
          <w:rFonts w:hint="eastAsia" w:ascii="Times New Roman" w:hAnsi="Times New Roman"/>
          <w:sz w:val="20"/>
          <w:szCs w:val="20"/>
        </w:rPr>
        <w:t>,</w:t>
      </w:r>
      <w:r>
        <w:rPr>
          <w:rFonts w:ascii="Times New Roman" w:hAnsi="Times New Roman"/>
          <w:sz w:val="20"/>
          <w:szCs w:val="20"/>
        </w:rPr>
        <w:t xml:space="preserve"> for the supporting of larger number of orthogonal DMRS ports </w:t>
      </w:r>
      <w:r>
        <w:rPr>
          <w:rFonts w:hint="eastAsia" w:ascii="Times New Roman" w:hAnsi="Times New Roman"/>
          <w:sz w:val="20"/>
          <w:szCs w:val="20"/>
        </w:rPr>
        <w:t xml:space="preserve">in </w:t>
      </w:r>
      <w:r>
        <w:rPr>
          <w:rFonts w:ascii="Times New Roman" w:hAnsi="Times New Roman"/>
          <w:sz w:val="20"/>
          <w:szCs w:val="20"/>
        </w:rPr>
        <w:t>Rel-18, several multiplexing types can be taken into consideration.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RAN1#109-e meeting, five options </w:t>
      </w:r>
      <w:r>
        <w:rPr>
          <w:rFonts w:ascii="Times New Roman" w:hAnsi="Times New Roman"/>
          <w:sz w:val="20"/>
          <w:szCs w:val="20"/>
        </w:rPr>
        <w:t>were</w:t>
      </w:r>
      <w:r>
        <w:rPr>
          <w:rFonts w:hint="eastAsia" w:ascii="Times New Roman" w:hAnsi="Times New Roman"/>
          <w:sz w:val="20"/>
          <w:szCs w:val="20"/>
        </w:rPr>
        <w:t xml:space="preserve"> listed to be considered as candidate solutions as follows, which may suitable for respective deployment scenarios in terms of high UE speed (Doppler shift) and/or large delay spread</w:t>
      </w:r>
      <w:r>
        <w:rPr>
          <w:rFonts w:ascii="Times New Roman" w:hAnsi="Times New Roman"/>
          <w:sz w:val="20"/>
          <w:szCs w:val="20"/>
        </w:rPr>
        <w:t xml:space="preserve"> </w:t>
      </w:r>
      <w:r>
        <w:rPr>
          <w:rFonts w:hint="eastAsia" w:ascii="Times New Roman" w:hAnsi="Times New Roman"/>
          <w:sz w:val="20"/>
          <w:szCs w:val="20"/>
        </w:rPr>
        <w:t>[2].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pacing w:after="0"/>
              <w:jc w:val="both"/>
              <w:rPr>
                <w:rFonts w:ascii="Times New Roman" w:hAnsi="Times New Roman"/>
                <w:color w:val="000000"/>
                <w:sz w:val="20"/>
                <w:szCs w:val="20"/>
                <w:u w:val="single"/>
              </w:rPr>
            </w:pPr>
            <w:r>
              <w:rPr>
                <w:rFonts w:ascii="Times New Roman" w:hAnsi="Times New Roman"/>
                <w:b/>
                <w:color w:val="000000"/>
                <w:sz w:val="20"/>
                <w:szCs w:val="20"/>
                <w:u w:val="single"/>
              </w:rPr>
              <w:t>Agreement</w:t>
            </w:r>
          </w:p>
          <w:p>
            <w:pPr>
              <w:shd w:val="clear" w:color="auto" w:fill="FFFFFF"/>
              <w:spacing w:after="0" w:line="288" w:lineRule="auto"/>
              <w:rPr>
                <w:rFonts w:ascii="Times New Roman" w:hAnsi="Times New Roman" w:eastAsia="宋体"/>
                <w:color w:val="000000"/>
                <w:sz w:val="20"/>
                <w:szCs w:val="20"/>
              </w:rPr>
            </w:pPr>
            <w:r>
              <w:rPr>
                <w:rFonts w:ascii="Times New Roman" w:hAnsi="Times New Roman" w:eastAsia="Times New Roman"/>
                <w:bCs/>
                <w:color w:val="000000"/>
                <w:sz w:val="20"/>
                <w:szCs w:val="20"/>
                <w:shd w:val="clear" w:color="auto" w:fill="FFFFFF"/>
              </w:rPr>
              <w:t>To increase the number of DMRS ports for PDSCH/PUSCH, evaluate and, if needed, specify one or more from the following options:</w:t>
            </w:r>
            <w:r>
              <w:rPr>
                <w:rFonts w:ascii="Times New Roman" w:hAnsi="Times New Roman" w:eastAsia="Times New Roman"/>
                <w:bCs/>
                <w:color w:val="000000"/>
                <w:sz w:val="20"/>
                <w:szCs w:val="20"/>
                <w:shd w:val="clear" w:color="auto" w:fill="FFFFFF"/>
                <w:lang w:eastAsia="ja-JP"/>
              </w:rPr>
              <w:t> </w:t>
            </w:r>
          </w:p>
          <w:p>
            <w:pPr>
              <w:numPr>
                <w:ilvl w:val="0"/>
                <w:numId w:val="5"/>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Opt.1 (enhance FD-OCC): Introduce larger FD-OCC length than Rel.15 (e.g. 4 or 6). </w:t>
            </w:r>
          </w:p>
          <w:p>
            <w:pPr>
              <w:numPr>
                <w:ilvl w:val="1"/>
                <w:numId w:val="6"/>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Study aspect includes potential performance degradation in large delay spread, potential scheduling restriction, backward compatibility. </w:t>
            </w:r>
          </w:p>
          <w:p>
            <w:pPr>
              <w:numPr>
                <w:ilvl w:val="0"/>
                <w:numId w:val="5"/>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Opt.2 (enhance TD-OCC): Utilize TD-OCC over non-contiguous DMRS symbols (e.g. TD-OCC across front/additional DMRS symbols) </w:t>
            </w:r>
          </w:p>
          <w:p>
            <w:pPr>
              <w:numPr>
                <w:ilvl w:val="1"/>
                <w:numId w:val="6"/>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pPr>
              <w:numPr>
                <w:ilvl w:val="0"/>
                <w:numId w:val="5"/>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Opt.3 (Sparser frequency allocation): increase the number of CDM groups (e.g. larger number of comb/FDM). </w:t>
            </w:r>
          </w:p>
          <w:p>
            <w:pPr>
              <w:numPr>
                <w:ilvl w:val="1"/>
                <w:numId w:val="6"/>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Study aspect includes potential performance degradation in large delay spread, backward compatibility. </w:t>
            </w:r>
          </w:p>
          <w:p>
            <w:pPr>
              <w:numPr>
                <w:ilvl w:val="0"/>
                <w:numId w:val="5"/>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Opt.4 (using TDMed DMRS symbol): reusing additional DMRS symbols to increase orthogonal DMRS ports </w:t>
            </w:r>
          </w:p>
          <w:p>
            <w:pPr>
              <w:numPr>
                <w:ilvl w:val="1"/>
                <w:numId w:val="6"/>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Study aspect includes potential performance degradation in high UE velocity, potential DMRS configuration restriction (e.g. restriction of the number of additional DMRS), backward compatibility. </w:t>
            </w:r>
          </w:p>
          <w:p>
            <w:pPr>
              <w:numPr>
                <w:ilvl w:val="0"/>
                <w:numId w:val="5"/>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Opt.5 TD-OCC over non-contiguous DMRS symbols combined with FD-OCC or FDM: reusing additional DMRS symbol(s) to improve channel estimation performance. </w:t>
            </w:r>
          </w:p>
          <w:p>
            <w:pPr>
              <w:numPr>
                <w:ilvl w:val="1"/>
                <w:numId w:val="6"/>
              </w:numPr>
              <w:shd w:val="clear" w:color="auto" w:fill="FFFFFF"/>
              <w:spacing w:after="0" w:line="288" w:lineRule="auto"/>
              <w:rPr>
                <w:rFonts w:ascii="Times New Roman" w:hAnsi="Times New Roman" w:eastAsia="Times New Roman"/>
                <w:bCs/>
                <w:color w:val="000000"/>
                <w:sz w:val="20"/>
                <w:szCs w:val="20"/>
                <w:lang w:eastAsia="ja-JP"/>
              </w:rPr>
            </w:pPr>
            <w:r>
              <w:rPr>
                <w:rFonts w:ascii="Times New Roman" w:hAnsi="Times New Roman" w:eastAsia="Times New Roman"/>
                <w:bCs/>
                <w:color w:val="000000"/>
                <w:sz w:val="20"/>
                <w:szCs w:val="20"/>
                <w:lang w:eastAsia="ja-JP"/>
              </w:rPr>
              <w:t>Study aspect includes potential performance degradation in high UE velocity, potential scheduling restriction (e.g. how to apply freq. hopping), potential DMRS configuration restriction (e.g. restriction of the number of additional DMRS), backward compatibility. </w:t>
            </w:r>
          </w:p>
          <w:p>
            <w:pPr>
              <w:numPr>
                <w:ilvl w:val="0"/>
                <w:numId w:val="5"/>
              </w:numPr>
              <w:shd w:val="clear" w:color="auto" w:fill="FFFFFF"/>
              <w:spacing w:after="0" w:line="288" w:lineRule="auto"/>
              <w:rPr>
                <w:rFonts w:ascii="Times New Roman" w:hAnsi="Times New Roman"/>
                <w:sz w:val="20"/>
                <w:szCs w:val="20"/>
              </w:rPr>
            </w:pPr>
            <w:r>
              <w:rPr>
                <w:rFonts w:ascii="Times New Roman" w:hAnsi="Times New Roman" w:eastAsia="Times New Roman"/>
                <w:bCs/>
                <w:color w:val="000000"/>
                <w:sz w:val="20"/>
                <w:szCs w:val="20"/>
                <w:lang w:eastAsia="ja-JP"/>
              </w:rPr>
              <w:t>The same option can be applied to both single symbol DMRS and double symbol DMRS. </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RAN1#110bis-e meeting, the one of candidate schemes for larger number of orthogonal DMRS ports was agreed as follows</w:t>
      </w:r>
      <w:r>
        <w:rPr>
          <w:rFonts w:ascii="Times New Roman" w:hAnsi="Times New Roman"/>
          <w:sz w:val="20"/>
          <w:szCs w:val="20"/>
        </w:rPr>
        <w:t xml:space="preserve"> </w:t>
      </w:r>
      <w:r>
        <w:rPr>
          <w:rFonts w:hint="eastAsia" w:ascii="Times New Roman" w:hAnsi="Times New Roman"/>
          <w:sz w:val="20"/>
          <w:szCs w:val="20"/>
        </w:rPr>
        <w:t>[3]: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pacing w:after="0" w:line="288" w:lineRule="auto"/>
              <w:jc w:val="both"/>
              <w:rPr>
                <w:rFonts w:ascii="Times New Roman" w:hAnsi="Times New Roman"/>
                <w:b/>
                <w:color w:val="000000"/>
                <w:sz w:val="20"/>
                <w:szCs w:val="20"/>
                <w:u w:val="single"/>
              </w:rPr>
            </w:pPr>
            <w:r>
              <w:rPr>
                <w:rFonts w:ascii="Times New Roman" w:hAnsi="Times New Roman"/>
                <w:b/>
                <w:color w:val="000000"/>
                <w:sz w:val="20"/>
                <w:szCs w:val="20"/>
                <w:u w:val="single"/>
                <w:lang w:eastAsia="ja-JP"/>
              </w:rPr>
              <w:t>Agreement</w:t>
            </w:r>
            <w:r>
              <w:rPr>
                <w:rFonts w:hint="eastAsia" w:ascii="Times New Roman" w:hAnsi="Times New Roman"/>
                <w:b/>
                <w:color w:val="000000"/>
                <w:sz w:val="20"/>
                <w:szCs w:val="20"/>
                <w:u w:val="single"/>
              </w:rPr>
              <w:t>:</w:t>
            </w:r>
          </w:p>
          <w:p>
            <w:pPr>
              <w:shd w:val="clear" w:color="auto" w:fill="FFFFFF"/>
              <w:spacing w:after="0" w:line="288" w:lineRule="auto"/>
              <w:rPr>
                <w:rFonts w:ascii="Times New Roman" w:hAnsi="Times New Roman" w:eastAsia="宋体"/>
                <w:color w:val="242424"/>
                <w:sz w:val="20"/>
                <w:szCs w:val="20"/>
              </w:rPr>
            </w:pPr>
            <w:r>
              <w:rPr>
                <w:rStyle w:val="119"/>
                <w:rFonts w:ascii="Times New Roman" w:hAnsi="Times New Roman" w:eastAsia="Times New Roman"/>
                <w:bCs/>
                <w:color w:val="242424"/>
                <w:sz w:val="20"/>
                <w:szCs w:val="20"/>
              </w:rPr>
              <w:t>Confirm the working assumption in RAN1#110 with the </w:t>
            </w:r>
            <w:r>
              <w:rPr>
                <w:rStyle w:val="119"/>
                <w:rFonts w:ascii="Times New Roman" w:hAnsi="Times New Roman" w:eastAsia="Times New Roman"/>
                <w:bCs/>
                <w:color w:val="FF0000"/>
                <w:sz w:val="20"/>
                <w:szCs w:val="20"/>
              </w:rPr>
              <w:t>following update</w:t>
            </w:r>
            <w:r>
              <w:rPr>
                <w:rStyle w:val="119"/>
                <w:rFonts w:ascii="Times New Roman" w:hAnsi="Times New Roman" w:eastAsia="Times New Roman"/>
                <w:bCs/>
                <w:color w:val="242424"/>
                <w:sz w:val="20"/>
                <w:szCs w:val="20"/>
              </w:rPr>
              <w:t>: </w:t>
            </w:r>
          </w:p>
          <w:p>
            <w:pPr>
              <w:shd w:val="clear" w:color="auto" w:fill="FFFFFF"/>
              <w:spacing w:after="0" w:line="288" w:lineRule="auto"/>
              <w:rPr>
                <w:rFonts w:ascii="Times New Roman" w:hAnsi="Times New Roman" w:eastAsia="Times New Roman"/>
                <w:bCs/>
                <w:color w:val="000000"/>
                <w:sz w:val="20"/>
                <w:szCs w:val="20"/>
                <w:shd w:val="clear" w:color="auto" w:fill="FFFFFF"/>
              </w:rPr>
            </w:pPr>
            <w:r>
              <w:rPr>
                <w:rFonts w:ascii="Times New Roman" w:hAnsi="Times New Roman" w:eastAsia="Times New Roman"/>
                <w:bCs/>
                <w:color w:val="000000"/>
                <w:sz w:val="20"/>
                <w:szCs w:val="20"/>
                <w:shd w:val="clear" w:color="auto" w:fill="FFFFFF"/>
              </w:rPr>
              <w:t>To increase the number of DMRS ports for PDSCH/PUSCH, support at least Opt.1 (introduce larger FD-OCC length than Rel.15 (e.g. 4 or 6)). </w:t>
            </w:r>
          </w:p>
          <w:p>
            <w:pPr>
              <w:numPr>
                <w:ilvl w:val="0"/>
                <w:numId w:val="7"/>
              </w:numPr>
              <w:shd w:val="clear" w:color="auto" w:fill="FFFFFF"/>
              <w:spacing w:after="0" w:line="288" w:lineRule="auto"/>
              <w:ind w:left="726" w:hanging="363"/>
              <w:rPr>
                <w:rFonts w:ascii="Times New Roman" w:hAnsi="Times New Roman" w:eastAsia="宋体"/>
                <w:color w:val="242424"/>
                <w:sz w:val="20"/>
                <w:szCs w:val="20"/>
              </w:rPr>
            </w:pPr>
            <w:r>
              <w:rPr>
                <w:rStyle w:val="119"/>
                <w:rFonts w:ascii="Times New Roman" w:hAnsi="Times New Roman" w:eastAsia="Times New Roman"/>
                <w:bCs/>
                <w:i/>
                <w:iCs/>
                <w:strike/>
                <w:color w:val="FF0000"/>
                <w:sz w:val="20"/>
                <w:szCs w:val="20"/>
              </w:rPr>
              <w:t>FFS: FD-OCC length for Rel.18 DMRS type 1 and type 2. </w:t>
            </w:r>
          </w:p>
          <w:p>
            <w:pPr>
              <w:numPr>
                <w:ilvl w:val="0"/>
                <w:numId w:val="7"/>
              </w:numPr>
              <w:shd w:val="clear" w:color="auto" w:fill="FFFFFF"/>
              <w:spacing w:after="0" w:line="288" w:lineRule="auto"/>
              <w:ind w:left="726" w:hanging="363"/>
              <w:rPr>
                <w:rFonts w:ascii="Times New Roman" w:hAnsi="Times New Roman"/>
                <w:sz w:val="20"/>
                <w:szCs w:val="20"/>
              </w:rPr>
            </w:pPr>
            <w:r>
              <w:rPr>
                <w:rStyle w:val="119"/>
                <w:rFonts w:ascii="Times New Roman" w:hAnsi="Times New Roman" w:eastAsia="Times New Roman"/>
                <w:bCs/>
                <w:i/>
                <w:iCs/>
                <w:color w:val="242424"/>
                <w:sz w:val="20"/>
                <w:szCs w:val="20"/>
              </w:rPr>
              <w:t>FFS: Whether it is needed to handle potential performance issues of Opt 1. For example, study if there is performance loss in case of large delay spread scenario. If needed, how (e.g. additionally support other options). </w:t>
            </w:r>
          </w:p>
        </w:tc>
      </w:tr>
    </w:tbl>
    <w:p>
      <w:pPr>
        <w:snapToGrid w:val="0"/>
        <w:spacing w:before="180" w:beforeLines="50" w:after="180" w:afterLines="50" w:line="288" w:lineRule="auto"/>
        <w:jc w:val="both"/>
        <w:rPr>
          <w:rFonts w:ascii="Times New Roman" w:hAnsi="Times New Roman"/>
          <w:bCs/>
          <w:sz w:val="20"/>
          <w:szCs w:val="20"/>
        </w:rPr>
      </w:pPr>
      <w:bookmarkStart w:id="11" w:name="OLE_LINK5"/>
      <w:r>
        <w:rPr>
          <w:rFonts w:hint="eastAsia" w:ascii="Times New Roman" w:hAnsi="Times New Roman"/>
          <w:sz w:val="20"/>
          <w:szCs w:val="20"/>
        </w:rPr>
        <w:t xml:space="preserve">One issue is to </w:t>
      </w:r>
      <w:r>
        <w:rPr>
          <w:rStyle w:val="119"/>
          <w:rFonts w:ascii="Times New Roman" w:hAnsi="Times New Roman" w:eastAsia="Times New Roman"/>
          <w:bCs/>
          <w:color w:val="242424"/>
          <w:sz w:val="20"/>
          <w:szCs w:val="20"/>
        </w:rPr>
        <w:t xml:space="preserve">study if there is performance loss </w:t>
      </w:r>
      <w:r>
        <w:rPr>
          <w:rFonts w:hint="eastAsia" w:ascii="Times New Roman" w:hAnsi="Times New Roman"/>
          <w:sz w:val="20"/>
          <w:szCs w:val="20"/>
        </w:rPr>
        <w:t xml:space="preserve">caused by length 4 FD-OCC </w:t>
      </w:r>
      <w:r>
        <w:rPr>
          <w:rStyle w:val="119"/>
          <w:rFonts w:ascii="Times New Roman" w:hAnsi="Times New Roman" w:eastAsia="Times New Roman"/>
          <w:bCs/>
          <w:color w:val="242424"/>
          <w:sz w:val="20"/>
          <w:szCs w:val="20"/>
        </w:rPr>
        <w:t>in large delay spread scenario</w:t>
      </w:r>
      <w:r>
        <w:rPr>
          <w:rFonts w:hint="eastAsia" w:ascii="Times New Roman" w:hAnsi="Times New Roman"/>
          <w:sz w:val="20"/>
          <w:szCs w:val="20"/>
        </w:rPr>
        <w:t xml:space="preserve">. Technically, as long as the channel can be flat enough, length 4 FD-OCC based DMRS ports with sparse interval in frequency domain can be used. In contrast, once the frequency response varies violently in larger delay scenario and then the channel flat among two non-adjacent REs within one CDM group is destroyed, length 4 FD-OCC based DMRS ports cannot be workable at all in this scenario. Especially, type 2 DMRS ports will perform much worse due to the sparser interval in frequency domain. To prove that, the comparison of BLER performance between Rel-15 DMRS ports with length 2 FD-OCC, Rel-18 DMRS ports with length 4 DMRS ports and Rel-18 DMRS ports with TD-OCC on non-consecutive symbols are evaluated and provided (as shown in Figure 1). The simulation is based on PUSCH transmission, and the channel estimation is proceeded within one CDM group. Then,other simulation assumptions can be found in the appendix. It can be observed that in the large delay spread scenario. It can be found that when length 4 FD-OCC are used, performance loss </w:t>
      </w:r>
      <w:r>
        <w:rPr>
          <w:rFonts w:ascii="Times New Roman" w:hAnsi="Times New Roman"/>
          <w:sz w:val="20"/>
          <w:szCs w:val="20"/>
        </w:rPr>
        <w:t>is</w:t>
      </w:r>
      <w:r>
        <w:rPr>
          <w:rFonts w:hint="eastAsia" w:ascii="Times New Roman" w:hAnsi="Times New Roman"/>
          <w:sz w:val="20"/>
          <w:szCs w:val="20"/>
        </w:rPr>
        <w:t xml:space="preserve"> ever-present compared with length 2 FD-OCC for both DMRS type 1 and type 2. In addition, </w:t>
      </w:r>
      <w:r>
        <w:rPr>
          <w:rFonts w:hint="eastAsia" w:ascii="Times New Roman" w:hAnsi="Times New Roman"/>
          <w:bCs/>
          <w:sz w:val="20"/>
          <w:szCs w:val="20"/>
        </w:rPr>
        <w:t>w</w:t>
      </w:r>
      <w:r>
        <w:rPr>
          <w:rFonts w:ascii="Times New Roman" w:hAnsi="Times New Roman"/>
          <w:bCs/>
          <w:sz w:val="20"/>
          <w:szCs w:val="20"/>
        </w:rPr>
        <w:t>ith the increase of delay spread</w:t>
      </w:r>
      <w:r>
        <w:rPr>
          <w:rFonts w:hint="eastAsia" w:ascii="Times New Roman" w:hAnsi="Times New Roman"/>
          <w:bCs/>
          <w:sz w:val="20"/>
          <w:szCs w:val="20"/>
        </w:rPr>
        <w:t xml:space="preserve"> from 300ns to 1000ns</w:t>
      </w:r>
      <w:r>
        <w:rPr>
          <w:rFonts w:ascii="Times New Roman" w:hAnsi="Times New Roman"/>
          <w:bCs/>
          <w:sz w:val="20"/>
          <w:szCs w:val="20"/>
        </w:rPr>
        <w:t xml:space="preserve">, </w:t>
      </w:r>
      <w:r>
        <w:rPr>
          <w:rFonts w:hint="eastAsia" w:ascii="Times New Roman" w:hAnsi="Times New Roman"/>
          <w:bCs/>
          <w:sz w:val="20"/>
          <w:szCs w:val="20"/>
        </w:rPr>
        <w:t>the performance gap between FD-OCC of length 4 and length 2 is from ~1 dB to &gt;5 dB.</w:t>
      </w:r>
    </w:p>
    <w:p>
      <w:pPr>
        <w:spacing w:after="0"/>
      </w:pPr>
      <w:r>
        <w:rPr>
          <w:rFonts w:eastAsia="Times New Roman"/>
          <w:b/>
          <w:sz w:val="21"/>
        </w:rPr>
        <w:drawing>
          <wp:inline distT="0" distB="0" distL="114300" distR="114300">
            <wp:extent cx="2989580" cy="1545590"/>
            <wp:effectExtent l="0" t="0" r="0" b="16510"/>
            <wp:docPr id="6"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4"/>
                    <pic:cNvPicPr>
                      <a:picLocks noChangeAspect="1"/>
                    </pic:cNvPicPr>
                  </pic:nvPicPr>
                  <pic:blipFill>
                    <a:blip r:embed="rId5"/>
                    <a:stretch>
                      <a:fillRect/>
                    </a:stretch>
                  </pic:blipFill>
                  <pic:spPr>
                    <a:xfrm>
                      <a:off x="0" y="0"/>
                      <a:ext cx="2989580" cy="1545590"/>
                    </a:xfrm>
                    <a:prstGeom prst="rect">
                      <a:avLst/>
                    </a:prstGeom>
                    <a:noFill/>
                    <a:ln>
                      <a:noFill/>
                    </a:ln>
                  </pic:spPr>
                </pic:pic>
              </a:graphicData>
            </a:graphic>
          </wp:inline>
        </w:drawing>
      </w:r>
      <w:r>
        <w:drawing>
          <wp:inline distT="0" distB="0" distL="114300" distR="114300">
            <wp:extent cx="2871470" cy="1484630"/>
            <wp:effectExtent l="0" t="0" r="0" b="127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6"/>
                    <a:stretch>
                      <a:fillRect/>
                    </a:stretch>
                  </pic:blipFill>
                  <pic:spPr>
                    <a:xfrm>
                      <a:off x="0" y="0"/>
                      <a:ext cx="2871470" cy="1484630"/>
                    </a:xfrm>
                    <a:prstGeom prst="rect">
                      <a:avLst/>
                    </a:prstGeom>
                    <a:noFill/>
                    <a:ln>
                      <a:noFill/>
                    </a:ln>
                  </pic:spPr>
                </pic:pic>
              </a:graphicData>
            </a:graphic>
          </wp:inline>
        </w:drawing>
      </w:r>
    </w:p>
    <w:p>
      <w:pPr>
        <w:jc w:val="center"/>
        <w:rPr>
          <w:rFonts w:ascii="Times New Roman" w:hAnsi="Times New Roman" w:eastAsia="宋体"/>
          <w:bCs/>
          <w:sz w:val="20"/>
          <w:szCs w:val="20"/>
        </w:rPr>
      </w:pPr>
      <w:r>
        <w:rPr>
          <w:rFonts w:hint="eastAsia" w:ascii="Times New Roman" w:hAnsi="Times New Roman" w:eastAsia="宋体"/>
          <w:bCs/>
          <w:sz w:val="20"/>
          <w:szCs w:val="20"/>
        </w:rPr>
        <w:t xml:space="preserve">(a) DS=300ns, UE speed=3km/h @type 1 DMRS      </w:t>
      </w:r>
      <w:r>
        <w:rPr>
          <w:rFonts w:hint="eastAsia" w:ascii="Times New Roman" w:hAnsi="Times New Roman" w:eastAsia="宋体"/>
          <w:bCs/>
          <w:sz w:val="20"/>
          <w:szCs w:val="20"/>
        </w:rPr>
        <w:tab/>
      </w:r>
      <w:r>
        <w:rPr>
          <w:rFonts w:hint="eastAsia" w:ascii="Times New Roman" w:hAnsi="Times New Roman" w:eastAsia="宋体"/>
          <w:bCs/>
          <w:sz w:val="20"/>
          <w:szCs w:val="20"/>
        </w:rPr>
        <w:t>(</w:t>
      </w:r>
      <w:r>
        <w:rPr>
          <w:rFonts w:ascii="Times New Roman" w:hAnsi="Times New Roman" w:eastAsia="宋体"/>
          <w:bCs/>
          <w:sz w:val="20"/>
          <w:szCs w:val="20"/>
        </w:rPr>
        <w:t>b</w:t>
      </w:r>
      <w:r>
        <w:rPr>
          <w:rFonts w:hint="eastAsia" w:ascii="Times New Roman" w:hAnsi="Times New Roman" w:eastAsia="宋体"/>
          <w:bCs/>
          <w:sz w:val="20"/>
          <w:szCs w:val="20"/>
        </w:rPr>
        <w:t xml:space="preserve">) DS=300ns, UE speed=3km/h @type 2 DMRS  </w:t>
      </w:r>
    </w:p>
    <w:p>
      <w:pPr>
        <w:spacing w:after="0"/>
        <w:rPr>
          <w:rFonts w:eastAsia="Times New Roman"/>
          <w:b/>
          <w:sz w:val="21"/>
        </w:rPr>
      </w:pPr>
      <w:r>
        <w:rPr>
          <w:rFonts w:eastAsia="Times New Roman"/>
          <w:b/>
          <w:sz w:val="21"/>
        </w:rPr>
        <w:drawing>
          <wp:inline distT="0" distB="0" distL="114300" distR="114300">
            <wp:extent cx="2946400" cy="1523365"/>
            <wp:effectExtent l="0" t="0" r="0" b="635"/>
            <wp:docPr id="7"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2"/>
                    <pic:cNvPicPr>
                      <a:picLocks noChangeAspect="1"/>
                    </pic:cNvPicPr>
                  </pic:nvPicPr>
                  <pic:blipFill>
                    <a:blip r:embed="rId7"/>
                    <a:stretch>
                      <a:fillRect/>
                    </a:stretch>
                  </pic:blipFill>
                  <pic:spPr>
                    <a:xfrm>
                      <a:off x="0" y="0"/>
                      <a:ext cx="2946400" cy="1523365"/>
                    </a:xfrm>
                    <a:prstGeom prst="rect">
                      <a:avLst/>
                    </a:prstGeom>
                    <a:noFill/>
                    <a:ln>
                      <a:noFill/>
                    </a:ln>
                  </pic:spPr>
                </pic:pic>
              </a:graphicData>
            </a:graphic>
          </wp:inline>
        </w:drawing>
      </w:r>
      <w:r>
        <w:rPr>
          <w:rFonts w:eastAsia="Times New Roman"/>
          <w:b/>
          <w:sz w:val="21"/>
        </w:rPr>
        <w:drawing>
          <wp:inline distT="0" distB="0" distL="114300" distR="114300">
            <wp:extent cx="2934335" cy="1517015"/>
            <wp:effectExtent l="0" t="0" r="0" b="0"/>
            <wp:docPr id="8"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3"/>
                    <pic:cNvPicPr>
                      <a:picLocks noChangeAspect="1"/>
                    </pic:cNvPicPr>
                  </pic:nvPicPr>
                  <pic:blipFill>
                    <a:blip r:embed="rId8"/>
                    <a:stretch>
                      <a:fillRect/>
                    </a:stretch>
                  </pic:blipFill>
                  <pic:spPr>
                    <a:xfrm>
                      <a:off x="0" y="0"/>
                      <a:ext cx="2934335" cy="1517015"/>
                    </a:xfrm>
                    <a:prstGeom prst="rect">
                      <a:avLst/>
                    </a:prstGeom>
                    <a:noFill/>
                    <a:ln>
                      <a:noFill/>
                    </a:ln>
                  </pic:spPr>
                </pic:pic>
              </a:graphicData>
            </a:graphic>
          </wp:inline>
        </w:drawing>
      </w:r>
    </w:p>
    <w:p>
      <w:pPr>
        <w:jc w:val="center"/>
        <w:rPr>
          <w:rFonts w:eastAsia="Times New Roman"/>
          <w:b/>
          <w:sz w:val="21"/>
        </w:rPr>
      </w:pPr>
      <w:r>
        <w:rPr>
          <w:rFonts w:hint="eastAsia" w:ascii="Times New Roman" w:hAnsi="Times New Roman" w:eastAsia="宋体"/>
          <w:bCs/>
          <w:sz w:val="20"/>
          <w:szCs w:val="20"/>
        </w:rPr>
        <w:t xml:space="preserve">(c) DS=1000ns,  UE speed=3km/h @type 1 DMRS      </w:t>
      </w:r>
      <w:r>
        <w:rPr>
          <w:rFonts w:hint="eastAsia" w:ascii="Times New Roman" w:hAnsi="Times New Roman" w:eastAsia="宋体"/>
          <w:bCs/>
          <w:sz w:val="20"/>
          <w:szCs w:val="20"/>
        </w:rPr>
        <w:tab/>
      </w:r>
      <w:r>
        <w:rPr>
          <w:rFonts w:hint="eastAsia" w:ascii="Times New Roman" w:hAnsi="Times New Roman" w:eastAsia="宋体"/>
          <w:bCs/>
          <w:sz w:val="20"/>
          <w:szCs w:val="20"/>
        </w:rPr>
        <w:t>(</w:t>
      </w:r>
      <w:r>
        <w:rPr>
          <w:rFonts w:ascii="Times New Roman" w:hAnsi="Times New Roman" w:eastAsia="宋体"/>
          <w:bCs/>
          <w:sz w:val="20"/>
          <w:szCs w:val="20"/>
        </w:rPr>
        <w:t>d</w:t>
      </w:r>
      <w:r>
        <w:rPr>
          <w:rFonts w:hint="eastAsia" w:ascii="Times New Roman" w:hAnsi="Times New Roman" w:eastAsia="宋体"/>
          <w:bCs/>
          <w:sz w:val="20"/>
          <w:szCs w:val="20"/>
        </w:rPr>
        <w:t xml:space="preserve">) DS=1000ns, UE speed=3km/h @type 2 DMRS  </w:t>
      </w:r>
    </w:p>
    <w:p>
      <w:pPr>
        <w:jc w:val="center"/>
        <w:rPr>
          <w:rFonts w:ascii="Times New Roman" w:hAnsi="Times New Roman" w:eastAsia="宋体"/>
          <w:bCs/>
          <w:sz w:val="20"/>
          <w:szCs w:val="20"/>
        </w:rPr>
      </w:pPr>
      <w:r>
        <w:rPr>
          <w:rFonts w:ascii="Times New Roman" w:hAnsi="Times New Roman" w:eastAsia="宋体"/>
          <w:b/>
          <w:sz w:val="20"/>
          <w:szCs w:val="20"/>
        </w:rPr>
        <w:t>Figure 1</w:t>
      </w:r>
      <w:r>
        <w:rPr>
          <w:rFonts w:ascii="Times New Roman" w:hAnsi="Times New Roman" w:eastAsia="宋体"/>
          <w:bCs/>
          <w:sz w:val="20"/>
          <w:szCs w:val="20"/>
        </w:rPr>
        <w:t xml:space="preserve"> </w:t>
      </w:r>
      <w:r>
        <w:rPr>
          <w:rFonts w:hint="eastAsia" w:ascii="Times New Roman" w:hAnsi="Times New Roman" w:eastAsia="宋体"/>
          <w:bCs/>
          <w:sz w:val="20"/>
          <w:szCs w:val="20"/>
        </w:rPr>
        <w:t>C</w:t>
      </w:r>
      <w:r>
        <w:rPr>
          <w:rFonts w:ascii="Times New Roman" w:hAnsi="Times New Roman" w:eastAsia="宋体"/>
          <w:bCs/>
          <w:sz w:val="20"/>
          <w:szCs w:val="20"/>
        </w:rPr>
        <w:t>omparison among Rel-15 DMRS</w:t>
      </w:r>
      <w:r>
        <w:rPr>
          <w:rFonts w:hint="eastAsia" w:ascii="Times New Roman" w:hAnsi="Times New Roman" w:eastAsia="宋体"/>
          <w:bCs/>
          <w:sz w:val="20"/>
          <w:szCs w:val="20"/>
        </w:rPr>
        <w:t xml:space="preserve"> with length 2 FD-OCC</w:t>
      </w:r>
      <w:r>
        <w:rPr>
          <w:rFonts w:ascii="Times New Roman" w:hAnsi="Times New Roman" w:eastAsia="宋体"/>
          <w:bCs/>
          <w:sz w:val="20"/>
          <w:szCs w:val="20"/>
        </w:rPr>
        <w:t xml:space="preserve">, </w:t>
      </w:r>
      <w:r>
        <w:rPr>
          <w:rFonts w:hint="eastAsia" w:ascii="Times New Roman" w:hAnsi="Times New Roman" w:eastAsia="宋体"/>
          <w:bCs/>
          <w:sz w:val="20"/>
          <w:szCs w:val="20"/>
        </w:rPr>
        <w:t xml:space="preserve">Rel-18 DMRS with </w:t>
      </w:r>
      <w:r>
        <w:rPr>
          <w:rFonts w:ascii="Times New Roman" w:hAnsi="Times New Roman" w:eastAsia="宋体"/>
          <w:bCs/>
          <w:sz w:val="20"/>
          <w:szCs w:val="20"/>
        </w:rPr>
        <w:t>TD-OCC on non</w:t>
      </w:r>
      <w:r>
        <w:rPr>
          <w:rFonts w:hint="eastAsia" w:ascii="Times New Roman" w:hAnsi="Times New Roman" w:eastAsia="宋体"/>
          <w:bCs/>
          <w:sz w:val="20"/>
          <w:szCs w:val="20"/>
        </w:rPr>
        <w:t>-</w:t>
      </w:r>
      <w:r>
        <w:rPr>
          <w:rFonts w:ascii="Times New Roman" w:hAnsi="Times New Roman" w:eastAsia="宋体"/>
          <w:bCs/>
          <w:sz w:val="20"/>
          <w:szCs w:val="20"/>
        </w:rPr>
        <w:t xml:space="preserve">consecutive symbol and </w:t>
      </w:r>
      <w:r>
        <w:rPr>
          <w:rFonts w:hint="eastAsia" w:ascii="Times New Roman" w:hAnsi="Times New Roman" w:eastAsia="宋体"/>
          <w:bCs/>
          <w:sz w:val="20"/>
          <w:szCs w:val="20"/>
        </w:rPr>
        <w:t xml:space="preserve">Rel-18 DMRS with </w:t>
      </w:r>
      <w:r>
        <w:rPr>
          <w:rFonts w:ascii="Times New Roman" w:hAnsi="Times New Roman" w:eastAsia="宋体"/>
          <w:bCs/>
          <w:sz w:val="20"/>
          <w:szCs w:val="20"/>
        </w:rPr>
        <w:t>length 4</w:t>
      </w:r>
      <w:r>
        <w:rPr>
          <w:rFonts w:hint="eastAsia" w:ascii="Times New Roman" w:hAnsi="Times New Roman" w:eastAsia="宋体"/>
          <w:bCs/>
          <w:sz w:val="20"/>
          <w:szCs w:val="20"/>
        </w:rPr>
        <w:t xml:space="preserve"> </w:t>
      </w:r>
      <w:r>
        <w:rPr>
          <w:rFonts w:ascii="Times New Roman" w:hAnsi="Times New Roman" w:eastAsia="宋体"/>
          <w:bCs/>
          <w:sz w:val="20"/>
          <w:szCs w:val="20"/>
        </w:rPr>
        <w:t xml:space="preserve">FD-OCC </w:t>
      </w:r>
      <w:r>
        <w:rPr>
          <w:rFonts w:hint="eastAsia" w:ascii="Times New Roman" w:hAnsi="Times New Roman" w:eastAsia="宋体"/>
          <w:bCs/>
          <w:sz w:val="20"/>
          <w:szCs w:val="20"/>
        </w:rPr>
        <w:t>for PUSCH</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 number of simulation results for PDSCH are provided as shown in Figure 2. As per the simulation results, it proves there is also performance loss for DMRS with length 4 FD-OCC compared with length 2 FD-OCC in the large delay spread scenario.</w:t>
      </w:r>
    </w:p>
    <w:p>
      <w:pPr>
        <w:snapToGrid w:val="0"/>
        <w:spacing w:before="180" w:beforeLines="50" w:after="0" w:line="288" w:lineRule="auto"/>
        <w:jc w:val="both"/>
      </w:pPr>
      <w:r>
        <w:drawing>
          <wp:inline distT="0" distB="0" distL="114300" distR="114300">
            <wp:extent cx="2912745" cy="1505585"/>
            <wp:effectExtent l="0" t="0" r="0" b="1841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9"/>
                    <a:stretch>
                      <a:fillRect/>
                    </a:stretch>
                  </pic:blipFill>
                  <pic:spPr>
                    <a:xfrm>
                      <a:off x="0" y="0"/>
                      <a:ext cx="2912745" cy="1505585"/>
                    </a:xfrm>
                    <a:prstGeom prst="rect">
                      <a:avLst/>
                    </a:prstGeom>
                    <a:noFill/>
                    <a:ln>
                      <a:noFill/>
                    </a:ln>
                  </pic:spPr>
                </pic:pic>
              </a:graphicData>
            </a:graphic>
          </wp:inline>
        </w:drawing>
      </w:r>
      <w:r>
        <w:drawing>
          <wp:inline distT="0" distB="0" distL="114300" distR="114300">
            <wp:extent cx="2995295" cy="1547495"/>
            <wp:effectExtent l="0" t="0" r="0" b="1460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0"/>
                    <a:stretch>
                      <a:fillRect/>
                    </a:stretch>
                  </pic:blipFill>
                  <pic:spPr>
                    <a:xfrm>
                      <a:off x="0" y="0"/>
                      <a:ext cx="2995295" cy="1547495"/>
                    </a:xfrm>
                    <a:prstGeom prst="rect">
                      <a:avLst/>
                    </a:prstGeom>
                    <a:noFill/>
                    <a:ln>
                      <a:noFill/>
                    </a:ln>
                  </pic:spPr>
                </pic:pic>
              </a:graphicData>
            </a:graphic>
          </wp:inline>
        </w:drawing>
      </w:r>
    </w:p>
    <w:p>
      <w:pPr>
        <w:jc w:val="center"/>
        <w:rPr>
          <w:rFonts w:ascii="Times New Roman" w:hAnsi="Times New Roman" w:eastAsia="宋体"/>
          <w:bCs/>
          <w:sz w:val="20"/>
          <w:szCs w:val="20"/>
        </w:rPr>
      </w:pPr>
      <w:r>
        <w:rPr>
          <w:rFonts w:ascii="Times New Roman" w:hAnsi="Times New Roman" w:eastAsia="宋体"/>
          <w:b/>
          <w:sz w:val="20"/>
          <w:szCs w:val="20"/>
        </w:rPr>
        <w:t xml:space="preserve">Figure </w:t>
      </w:r>
      <w:r>
        <w:rPr>
          <w:rFonts w:hint="eastAsia" w:ascii="Times New Roman" w:hAnsi="Times New Roman" w:eastAsia="宋体"/>
          <w:b/>
          <w:sz w:val="20"/>
          <w:szCs w:val="20"/>
        </w:rPr>
        <w:t>2</w:t>
      </w:r>
      <w:r>
        <w:rPr>
          <w:rFonts w:ascii="Times New Roman" w:hAnsi="Times New Roman" w:eastAsia="宋体"/>
          <w:bCs/>
          <w:sz w:val="20"/>
          <w:szCs w:val="20"/>
        </w:rPr>
        <w:t xml:space="preserve"> </w:t>
      </w:r>
      <w:r>
        <w:rPr>
          <w:rFonts w:hint="eastAsia" w:ascii="Times New Roman" w:hAnsi="Times New Roman" w:eastAsia="宋体"/>
          <w:bCs/>
          <w:sz w:val="20"/>
          <w:szCs w:val="20"/>
        </w:rPr>
        <w:t>C</w:t>
      </w:r>
      <w:r>
        <w:rPr>
          <w:rFonts w:ascii="Times New Roman" w:hAnsi="Times New Roman" w:eastAsia="宋体"/>
          <w:bCs/>
          <w:sz w:val="20"/>
          <w:szCs w:val="20"/>
        </w:rPr>
        <w:t>omparison among Rel-15 DMRS</w:t>
      </w:r>
      <w:r>
        <w:rPr>
          <w:rFonts w:hint="eastAsia" w:ascii="Times New Roman" w:hAnsi="Times New Roman" w:eastAsia="宋体"/>
          <w:bCs/>
          <w:sz w:val="20"/>
          <w:szCs w:val="20"/>
        </w:rPr>
        <w:t xml:space="preserve"> with length 2 FD-OCC</w:t>
      </w:r>
      <w:r>
        <w:rPr>
          <w:rFonts w:ascii="Times New Roman" w:hAnsi="Times New Roman" w:eastAsia="宋体"/>
          <w:bCs/>
          <w:sz w:val="20"/>
          <w:szCs w:val="20"/>
        </w:rPr>
        <w:t xml:space="preserve">, </w:t>
      </w:r>
      <w:r>
        <w:rPr>
          <w:rFonts w:hint="eastAsia" w:ascii="Times New Roman" w:hAnsi="Times New Roman" w:eastAsia="宋体"/>
          <w:bCs/>
          <w:sz w:val="20"/>
          <w:szCs w:val="20"/>
        </w:rPr>
        <w:t xml:space="preserve">Rel-18 DMRS with </w:t>
      </w:r>
      <w:r>
        <w:rPr>
          <w:rFonts w:ascii="Times New Roman" w:hAnsi="Times New Roman" w:eastAsia="宋体"/>
          <w:bCs/>
          <w:sz w:val="20"/>
          <w:szCs w:val="20"/>
        </w:rPr>
        <w:t>TD-OCC on non</w:t>
      </w:r>
      <w:r>
        <w:rPr>
          <w:rFonts w:hint="eastAsia" w:ascii="Times New Roman" w:hAnsi="Times New Roman" w:eastAsia="宋体"/>
          <w:bCs/>
          <w:sz w:val="20"/>
          <w:szCs w:val="20"/>
        </w:rPr>
        <w:t>-</w:t>
      </w:r>
      <w:r>
        <w:rPr>
          <w:rFonts w:ascii="Times New Roman" w:hAnsi="Times New Roman" w:eastAsia="宋体"/>
          <w:bCs/>
          <w:sz w:val="20"/>
          <w:szCs w:val="20"/>
        </w:rPr>
        <w:t xml:space="preserve">consecutive symbol and </w:t>
      </w:r>
      <w:r>
        <w:rPr>
          <w:rFonts w:hint="eastAsia" w:ascii="Times New Roman" w:hAnsi="Times New Roman" w:eastAsia="宋体"/>
          <w:bCs/>
          <w:sz w:val="20"/>
          <w:szCs w:val="20"/>
        </w:rPr>
        <w:t xml:space="preserve">Rel-18 DMRS with </w:t>
      </w:r>
      <w:r>
        <w:rPr>
          <w:rFonts w:ascii="Times New Roman" w:hAnsi="Times New Roman" w:eastAsia="宋体"/>
          <w:bCs/>
          <w:sz w:val="20"/>
          <w:szCs w:val="20"/>
        </w:rPr>
        <w:t>length 4</w:t>
      </w:r>
      <w:r>
        <w:rPr>
          <w:rFonts w:hint="eastAsia" w:ascii="Times New Roman" w:hAnsi="Times New Roman" w:eastAsia="宋体"/>
          <w:bCs/>
          <w:sz w:val="20"/>
          <w:szCs w:val="20"/>
        </w:rPr>
        <w:t xml:space="preserve"> </w:t>
      </w:r>
      <w:r>
        <w:rPr>
          <w:rFonts w:ascii="Times New Roman" w:hAnsi="Times New Roman" w:eastAsia="宋体"/>
          <w:bCs/>
          <w:sz w:val="20"/>
          <w:szCs w:val="20"/>
        </w:rPr>
        <w:t xml:space="preserve">FD-OCC </w:t>
      </w:r>
      <w:r>
        <w:rPr>
          <w:rFonts w:hint="eastAsia" w:ascii="Times New Roman" w:hAnsi="Times New Roman" w:eastAsia="宋体"/>
          <w:bCs/>
          <w:sz w:val="20"/>
          <w:szCs w:val="20"/>
        </w:rPr>
        <w:t>for PDSCH</w:t>
      </w:r>
    </w:p>
    <w:p>
      <w:pPr>
        <w:snapToGrid w:val="0"/>
        <w:spacing w:before="180" w:beforeLines="50" w:after="180" w:afterLines="50" w:line="288" w:lineRule="auto"/>
        <w:jc w:val="both"/>
        <w:rPr>
          <w:rFonts w:ascii="Times New Roman" w:hAnsi="Times New Roman"/>
          <w:bCs/>
          <w:i/>
          <w:sz w:val="20"/>
          <w:szCs w:val="20"/>
        </w:rPr>
      </w:pPr>
      <w:r>
        <w:rPr>
          <w:rFonts w:hint="eastAsia" w:ascii="Times New Roman" w:hAnsi="Times New Roman"/>
          <w:b/>
          <w:i/>
          <w:sz w:val="20"/>
          <w:szCs w:val="20"/>
        </w:rPr>
        <w:t>Observation 1</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bCs/>
          <w:i/>
          <w:sz w:val="20"/>
          <w:szCs w:val="20"/>
        </w:rPr>
        <w:t xml:space="preserve">In the large delay spread scenario, performance loss by length 4 FD-OCC (when compared with Rel-15 length 2 FD-OCC) is ever-present for both PDSCH DMRS and PUSCH DMRS </w:t>
      </w:r>
    </w:p>
    <w:p>
      <w:pPr>
        <w:snapToGrid w:val="0"/>
        <w:spacing w:before="180" w:beforeLines="50" w:after="180" w:afterLines="50" w:line="288" w:lineRule="auto"/>
        <w:jc w:val="both"/>
        <w:rPr>
          <w:rFonts w:ascii="Times New Roman" w:hAnsi="Times New Roman"/>
          <w:bCs/>
          <w:i/>
          <w:sz w:val="20"/>
          <w:szCs w:val="20"/>
        </w:rPr>
      </w:pPr>
      <w:r>
        <w:rPr>
          <w:rFonts w:hint="eastAsia" w:ascii="Times New Roman" w:hAnsi="Times New Roman"/>
          <w:b/>
          <w:i/>
          <w:sz w:val="20"/>
          <w:szCs w:val="20"/>
        </w:rPr>
        <w:t xml:space="preserve">Proposal 1: </w:t>
      </w:r>
      <w:r>
        <w:rPr>
          <w:rFonts w:hint="eastAsia" w:ascii="Times New Roman" w:hAnsi="Times New Roman"/>
          <w:bCs/>
          <w:i/>
          <w:sz w:val="20"/>
          <w:szCs w:val="20"/>
        </w:rPr>
        <w:t>RAN1 shall strive to handle the performance degradation caused by length 4 FD-OCC in the large delay spread scenario.</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By comparison, since TD-OCC </w:t>
      </w:r>
      <w:r>
        <w:rPr>
          <w:rFonts w:ascii="Times New Roman" w:hAnsi="Times New Roman"/>
          <w:sz w:val="20"/>
          <w:szCs w:val="20"/>
        </w:rPr>
        <w:t xml:space="preserve">enables </w:t>
      </w:r>
      <w:r>
        <w:rPr>
          <w:rFonts w:hint="eastAsia" w:ascii="Times New Roman" w:hAnsi="Times New Roman"/>
          <w:sz w:val="20"/>
          <w:szCs w:val="20"/>
        </w:rPr>
        <w:t xml:space="preserve">increased </w:t>
      </w:r>
      <w:r>
        <w:rPr>
          <w:rFonts w:ascii="Times New Roman" w:hAnsi="Times New Roman"/>
          <w:sz w:val="20"/>
          <w:szCs w:val="20"/>
        </w:rPr>
        <w:t xml:space="preserve">DMRS ports </w:t>
      </w:r>
      <w:r>
        <w:rPr>
          <w:rFonts w:hint="eastAsia" w:ascii="Times New Roman" w:hAnsi="Times New Roman"/>
          <w:sz w:val="20"/>
          <w:szCs w:val="20"/>
        </w:rPr>
        <w:t>by</w:t>
      </w:r>
      <w:r>
        <w:rPr>
          <w:rFonts w:ascii="Times New Roman" w:hAnsi="Times New Roman"/>
          <w:sz w:val="20"/>
          <w:szCs w:val="20"/>
        </w:rPr>
        <w:t xml:space="preserve"> different OFDM symbols</w:t>
      </w:r>
      <w:r>
        <w:rPr>
          <w:rFonts w:hint="eastAsia" w:ascii="Times New Roman" w:hAnsi="Times New Roman"/>
          <w:sz w:val="20"/>
          <w:szCs w:val="20"/>
        </w:rPr>
        <w:t xml:space="preserve"> and will not cause frequency domain sparser, hence it is applicable to high delay spread scenario. As per the simulation results in Figure 1 and Figure 2, it proves that FD-OCC cannot be workable in the scenario of large delay spread, but TD-OCC could still guarantee BLER performance in this case. And it can be seen that w</w:t>
      </w:r>
      <w:r>
        <w:rPr>
          <w:rFonts w:ascii="Times New Roman" w:hAnsi="Times New Roman"/>
          <w:bCs/>
          <w:sz w:val="20"/>
          <w:szCs w:val="20"/>
        </w:rPr>
        <w:t>ith the increase of delay spread</w:t>
      </w:r>
      <w:r>
        <w:rPr>
          <w:rFonts w:hint="eastAsia" w:ascii="Times New Roman" w:hAnsi="Times New Roman"/>
          <w:bCs/>
          <w:sz w:val="20"/>
          <w:szCs w:val="20"/>
        </w:rPr>
        <w:t xml:space="preserve">, </w:t>
      </w:r>
      <w:r>
        <w:rPr>
          <w:rFonts w:ascii="Times New Roman" w:hAnsi="Times New Roman"/>
          <w:bCs/>
          <w:sz w:val="20"/>
          <w:szCs w:val="20"/>
        </w:rPr>
        <w:t xml:space="preserve">TD-OCC performs </w:t>
      </w:r>
      <w:r>
        <w:rPr>
          <w:rFonts w:hint="eastAsia" w:ascii="Times New Roman" w:hAnsi="Times New Roman"/>
          <w:bCs/>
          <w:sz w:val="20"/>
          <w:szCs w:val="20"/>
        </w:rPr>
        <w:t xml:space="preserve">much </w:t>
      </w:r>
      <w:r>
        <w:rPr>
          <w:rFonts w:ascii="Times New Roman" w:hAnsi="Times New Roman"/>
          <w:bCs/>
          <w:sz w:val="20"/>
          <w:szCs w:val="20"/>
        </w:rPr>
        <w:t xml:space="preserve">better than </w:t>
      </w:r>
      <w:r>
        <w:rPr>
          <w:rFonts w:hint="eastAsia" w:ascii="Times New Roman" w:hAnsi="Times New Roman"/>
          <w:bCs/>
          <w:sz w:val="20"/>
          <w:szCs w:val="20"/>
        </w:rPr>
        <w:t xml:space="preserve">length 4 </w:t>
      </w:r>
      <w:r>
        <w:rPr>
          <w:rFonts w:ascii="Times New Roman" w:hAnsi="Times New Roman"/>
          <w:bCs/>
          <w:sz w:val="20"/>
          <w:szCs w:val="20"/>
        </w:rPr>
        <w:t>FD-OCC</w:t>
      </w:r>
      <w:r>
        <w:rPr>
          <w:rFonts w:hint="eastAsia" w:ascii="Times New Roman" w:hAnsi="Times New Roman"/>
          <w:bCs/>
          <w:sz w:val="20"/>
          <w:szCs w:val="20"/>
        </w:rPr>
        <w:t xml:space="preserve">. Hence TD-OCC should be supported additionally to facilitate the increased DMRS ports in </w:t>
      </w:r>
      <w:r>
        <w:rPr>
          <w:rFonts w:ascii="Times New Roman" w:hAnsi="Times New Roman"/>
          <w:bCs/>
          <w:sz w:val="20"/>
          <w:szCs w:val="20"/>
        </w:rPr>
        <w:t xml:space="preserve">the </w:t>
      </w:r>
      <w:r>
        <w:rPr>
          <w:rFonts w:hint="eastAsia" w:ascii="Times New Roman" w:hAnsi="Times New Roman"/>
          <w:bCs/>
          <w:sz w:val="20"/>
          <w:szCs w:val="20"/>
        </w:rPr>
        <w:t>large</w:t>
      </w:r>
      <w:r>
        <w:rPr>
          <w:rFonts w:ascii="Times New Roman" w:hAnsi="Times New Roman"/>
          <w:bCs/>
          <w:sz w:val="20"/>
          <w:szCs w:val="20"/>
        </w:rPr>
        <w:t xml:space="preserve"> delay spread</w:t>
      </w:r>
      <w:r>
        <w:rPr>
          <w:rFonts w:hint="eastAsia" w:ascii="Times New Roman" w:hAnsi="Times New Roman"/>
          <w:bCs/>
          <w:sz w:val="20"/>
          <w:szCs w:val="20"/>
        </w:rPr>
        <w:t xml:space="preserve"> scenario.</w:t>
      </w:r>
    </w:p>
    <w:bookmarkEnd w:id="11"/>
    <w:p>
      <w:pPr>
        <w:snapToGrid w:val="0"/>
        <w:spacing w:before="10" w:after="10" w:line="288" w:lineRule="auto"/>
        <w:jc w:val="both"/>
        <w:rPr>
          <w:rFonts w:ascii="Times New Roman" w:hAnsi="Times New Roman"/>
          <w:bCs/>
          <w:i/>
          <w:sz w:val="20"/>
          <w:szCs w:val="20"/>
        </w:rPr>
      </w:pPr>
      <w:bookmarkStart w:id="12" w:name="OLE_LINK1"/>
      <w:bookmarkStart w:id="13" w:name="OLE_LINK4"/>
      <w:bookmarkStart w:id="14" w:name="OLE_LINK2"/>
      <w:r>
        <w:rPr>
          <w:rFonts w:hint="eastAsia" w:ascii="Times New Roman" w:hAnsi="Times New Roman"/>
          <w:b/>
          <w:i/>
          <w:sz w:val="20"/>
          <w:szCs w:val="20"/>
        </w:rPr>
        <w:t>Proposal 2</w:t>
      </w:r>
      <w:r>
        <w:rPr>
          <w:rFonts w:ascii="Times New Roman" w:hAnsi="Times New Roman"/>
          <w:b/>
          <w:i/>
          <w:sz w:val="20"/>
          <w:szCs w:val="20"/>
        </w:rPr>
        <w:t xml:space="preserve">: </w:t>
      </w:r>
      <w:r>
        <w:rPr>
          <w:rFonts w:ascii="Times New Roman" w:hAnsi="Times New Roman"/>
          <w:i/>
          <w:sz w:val="20"/>
          <w:szCs w:val="20"/>
        </w:rPr>
        <w:t>T</w:t>
      </w:r>
      <w:r>
        <w:rPr>
          <w:rFonts w:hint="eastAsia" w:ascii="Times New Roman" w:hAnsi="Times New Roman"/>
          <w:i/>
          <w:sz w:val="20"/>
          <w:szCs w:val="20"/>
        </w:rPr>
        <w:t>o increase the number of orthogonal DMRS ports in MU-MIMO</w:t>
      </w:r>
      <w:r>
        <w:rPr>
          <w:rFonts w:hint="eastAsia" w:ascii="Times New Roman" w:hAnsi="Times New Roman"/>
          <w:bCs/>
          <w:i/>
          <w:iCs/>
          <w:sz w:val="20"/>
          <w:szCs w:val="20"/>
        </w:rPr>
        <w:t xml:space="preserve">, TD-OCC on non-continuous OFDM symbols should be </w:t>
      </w:r>
      <w:bookmarkEnd w:id="12"/>
      <w:r>
        <w:rPr>
          <w:rFonts w:hint="eastAsia" w:ascii="Times New Roman" w:hAnsi="Times New Roman"/>
          <w:bCs/>
          <w:i/>
          <w:iCs/>
          <w:sz w:val="20"/>
          <w:szCs w:val="20"/>
        </w:rPr>
        <w:t xml:space="preserve">supported additionally </w:t>
      </w:r>
      <w:r>
        <w:rPr>
          <w:rFonts w:hint="eastAsia" w:ascii="Times New Roman" w:hAnsi="Times New Roman"/>
          <w:i/>
          <w:sz w:val="20"/>
          <w:szCs w:val="20"/>
        </w:rPr>
        <w:t>i</w:t>
      </w:r>
      <w:r>
        <w:rPr>
          <w:rFonts w:ascii="Times New Roman" w:hAnsi="Times New Roman"/>
          <w:bCs/>
          <w:i/>
          <w:sz w:val="20"/>
          <w:szCs w:val="20"/>
        </w:rPr>
        <w:t>n the scenario of high-delay-spread</w:t>
      </w:r>
      <w:r>
        <w:rPr>
          <w:rFonts w:hint="eastAsia" w:ascii="Times New Roman" w:hAnsi="Times New Roman"/>
          <w:bCs/>
          <w:i/>
          <w:sz w:val="20"/>
          <w:szCs w:val="20"/>
        </w:rPr>
        <w:t>.</w:t>
      </w:r>
    </w:p>
    <w:bookmarkEnd w:id="13"/>
    <w:p>
      <w:pPr>
        <w:pStyle w:val="3"/>
        <w:numPr>
          <w:ilvl w:val="1"/>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Indication of legacy DMRS ports and Rel-18 DMRS ports</w:t>
      </w:r>
    </w:p>
    <w:p>
      <w:pPr>
        <w:snapToGrid w:val="0"/>
        <w:spacing w:before="180" w:beforeLines="50" w:after="180" w:afterLines="50" w:line="288" w:lineRule="auto"/>
        <w:jc w:val="both"/>
        <w:rPr>
          <w:rFonts w:ascii="Times New Roman" w:hAnsi="Times New Roman"/>
          <w:sz w:val="20"/>
          <w:szCs w:val="20"/>
        </w:rPr>
      </w:pPr>
      <w:bookmarkStart w:id="15" w:name="OLE_LINK22"/>
      <w:r>
        <w:rPr>
          <w:rFonts w:hint="eastAsia" w:ascii="Times New Roman" w:hAnsi="Times New Roman"/>
          <w:sz w:val="20"/>
          <w:szCs w:val="20"/>
        </w:rPr>
        <w:t>In RAN1#110 meeting, the following agreement on the indication of Rel-18 DMRS ports</w:t>
      </w:r>
      <w:r>
        <w:rPr>
          <w:rFonts w:ascii="Times New Roman" w:hAnsi="Times New Roman"/>
          <w:sz w:val="20"/>
          <w:szCs w:val="20"/>
        </w:rPr>
        <w:t xml:space="preserve"> was reached</w:t>
      </w:r>
      <w:r>
        <w:rPr>
          <w:rFonts w:hint="eastAsia" w:ascii="Times New Roman" w:hAnsi="Times New Roman"/>
          <w:sz w:val="20"/>
          <w:szCs w:val="20"/>
        </w:rPr>
        <w:t xml:space="preserve"> [4].</w:t>
      </w:r>
    </w:p>
    <w:bookmarkEnd w:id="15"/>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lang w:eastAsia="ja-JP"/>
              </w:rPr>
            </w:pPr>
            <w:r>
              <w:rPr>
                <w:rFonts w:ascii="Times New Roman" w:hAnsi="Times New Roman"/>
                <w:b/>
                <w:color w:val="000000"/>
                <w:sz w:val="20"/>
                <w:szCs w:val="20"/>
                <w:u w:val="single"/>
                <w:lang w:eastAsia="ja-JP"/>
              </w:rPr>
              <w:t>Agreement</w:t>
            </w:r>
          </w:p>
          <w:p>
            <w:pPr>
              <w:pStyle w:val="99"/>
              <w:ind w:firstLine="0" w:firstLineChars="0"/>
              <w:jc w:val="both"/>
              <w:rPr>
                <w:rFonts w:ascii="Times New Roman" w:hAnsi="Times New Roman"/>
                <w:sz w:val="20"/>
                <w:szCs w:val="20"/>
              </w:rPr>
            </w:pPr>
            <w:r>
              <w:rPr>
                <w:rFonts w:ascii="Times New Roman" w:hAnsi="Times New Roman" w:eastAsia="Malgun Gothic"/>
                <w:sz w:val="20"/>
                <w:szCs w:val="20"/>
                <w:lang w:eastAsia="ja-JP"/>
              </w:rPr>
              <w:t>For increased DMRS ports for enhanced FD-OCC, study whether/how to support DCI based switching between DMRS port(s) associated with length 2 FD-OCC and DMRS port(s) associated with length M FD-OCC (where M &gt; 2).</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MU-MIMO, legacy UE and Rel-18 UE can be co-scheduled in order to keep the scheduling flexibility from gNB perspective. If the switching between Rel-15 and Rel-18 DMRS ports is configured by RRC or activated via MAC CE, the UE has to demodulate the DMRS ports with length 4 FD-OCC until the the DMRS port switches length 4 FD-OCC to length 2 FD-OCC. However, sometimes the DMRS ports are indicated to one UE without any other co-scheduled UEs, and the DMRS ports would still be demodulated with length 4 FD-OCC until receiving the related RRC or MAC CE signaling. From the simulation results in Figure 1, there is considerable performance loss for length 4 FD-OCC compared with length 2 FD-OCC in the large delay spread scenario. However, if dynamic switching can be supported, the indicated Rel-18 DMRS ports can be switched to Rel-15 DMRS ports dynamically by DCI signaling, and consequently it is beneficial to improve the performance of DMRS demodulation.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Consequently, two possible ways as follows can be considered to indicate the Rel-18 DMRS ports: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Alt 1: One combined table is used to indicate the DMRS ports </w:t>
      </w:r>
      <w:r>
        <w:rPr>
          <w:rFonts w:ascii="Times New Roman" w:hAnsi="Times New Roman"/>
          <w:sz w:val="20"/>
          <w:szCs w:val="20"/>
        </w:rPr>
        <w:t xml:space="preserve">of </w:t>
      </w:r>
      <w:r>
        <w:rPr>
          <w:rFonts w:hint="eastAsia" w:ascii="Times New Roman" w:hAnsi="Times New Roman"/>
          <w:sz w:val="20"/>
          <w:szCs w:val="20"/>
        </w:rPr>
        <w:t>Rel-15 and Rel-18.</w:t>
      </w:r>
    </w:p>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Table 1</w:t>
      </w:r>
      <w:r>
        <w:rPr>
          <w:rFonts w:ascii="Times New Roman" w:hAnsi="Times New Roman"/>
          <w:b w:val="0"/>
          <w:bCs/>
        </w:rPr>
        <w:t xml:space="preserve"> Antenna port(s), transform precoder is disabled, </w:t>
      </w:r>
      <w:r>
        <w:rPr>
          <w:rFonts w:ascii="Times New Roman" w:hAnsi="Times New Roman"/>
          <w:b w:val="0"/>
          <w:bCs/>
          <w:i/>
        </w:rPr>
        <w:t>dmrs-Type</w:t>
      </w:r>
      <w:r>
        <w:rPr>
          <w:rFonts w:ascii="Times New Roman" w:hAnsi="Times New Roman"/>
          <w:b w:val="0"/>
          <w:bCs/>
        </w:rPr>
        <w:t xml:space="preserve">=2, </w:t>
      </w:r>
      <w:r>
        <w:rPr>
          <w:rFonts w:ascii="Times New Roman" w:hAnsi="Times New Roman"/>
          <w:b w:val="0"/>
          <w:bCs/>
          <w:i/>
        </w:rPr>
        <w:t>maxLength</w:t>
      </w:r>
      <w:r>
        <w:rPr>
          <w:rFonts w:ascii="Times New Roman" w:hAnsi="Times New Roman"/>
          <w:b w:val="0"/>
          <w:bCs/>
        </w:rPr>
        <w:t>=1, rank=2</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216"/>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ascii="Times New Roman" w:hAnsi="Times New Roman"/>
                <w:sz w:val="20"/>
                <w:lang w:eastAsia="zh-CN"/>
              </w:rPr>
            </w:pPr>
            <w:r>
              <w:rPr>
                <w:rFonts w:ascii="Times New Roman" w:hAnsi="Times New Roman"/>
                <w:b/>
                <w:bCs/>
                <w:sz w:val="20"/>
              </w:rPr>
              <w:t>Value</w:t>
            </w:r>
            <w:r>
              <w:rPr>
                <w:rFonts w:ascii="Times New Roman" w:hAnsi="Times New Roman"/>
                <w:sz w:val="20"/>
              </w:rPr>
              <mc:AlternateContent>
                <mc:Choice Requires="wps">
                  <w:drawing>
                    <wp:anchor distT="0" distB="0" distL="114300" distR="114300" simplePos="0" relativeHeight="251659264" behindDoc="0" locked="0" layoutInCell="1" allowOverlap="1">
                      <wp:simplePos x="0" y="0"/>
                      <wp:positionH relativeFrom="column">
                        <wp:posOffset>-359410</wp:posOffset>
                      </wp:positionH>
                      <wp:positionV relativeFrom="paragraph">
                        <wp:posOffset>273050</wp:posOffset>
                      </wp:positionV>
                      <wp:extent cx="4578985" cy="1062355"/>
                      <wp:effectExtent l="13970" t="13970" r="17145" b="28575"/>
                      <wp:wrapNone/>
                      <wp:docPr id="2" name="文本框 2"/>
                      <wp:cNvGraphicFramePr/>
                      <a:graphic xmlns:a="http://schemas.openxmlformats.org/drawingml/2006/main">
                        <a:graphicData uri="http://schemas.microsoft.com/office/word/2010/wordprocessingShape">
                          <wps:wsp>
                            <wps:cNvSpPr txBox="1"/>
                            <wps:spPr>
                              <a:xfrm>
                                <a:off x="1999615" y="2912745"/>
                                <a:ext cx="4578985" cy="1062355"/>
                              </a:xfrm>
                              <a:prstGeom prst="rect">
                                <a:avLst/>
                              </a:prstGeom>
                              <a:noFill/>
                              <a:ln w="28575">
                                <a:solidFill>
                                  <a:srgbClr val="FF0000"/>
                                </a:solid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3pt;margin-top:21.5pt;height:83.65pt;width:360.55pt;z-index:251659264;mso-width-relative:page;mso-height-relative:page;" filled="f" stroked="t" coordsize="21600,21600" o:gfxdata="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DlsUd2gAAAAoBAAAPAAAAAAAAAAEAIAAA&#10;ACIAAABkcnMvZG93bnJldi54bWxQSwECFAAUAAAACACHTuJABcCht0MCAABPBAAADgAAAAAAAAAB&#10;ACAAAAApAQAAZHJzL2Uyb0RvYy54bWxQSwUGAAAAAAYABgBZAQAA3gUAAAAA&#10;">
                      <v:fill on="f" focussize="0,0"/>
                      <v:stroke weight="2.25pt" color="#FF0000 [3204]" joinstyle="round"/>
                      <v:imagedata o:title=""/>
                      <o:lock v:ext="edit" aspectratio="f"/>
                      <v:textbox>
                        <w:txbxContent>
                          <w:p/>
                        </w:txbxContent>
                      </v:textbox>
                    </v:shape>
                  </w:pict>
                </mc:Fallback>
              </mc:AlternateContent>
            </w:r>
          </w:p>
        </w:tc>
        <w:tc>
          <w:tcPr>
            <w:tcW w:w="0" w:type="auto"/>
            <w:shd w:val="clear" w:color="auto" w:fill="D9D9D9"/>
            <w:vAlign w:val="center"/>
          </w:tcPr>
          <w:p>
            <w:pPr>
              <w:pStyle w:val="62"/>
              <w:rPr>
                <w:rFonts w:ascii="Times New Roman" w:hAnsi="Times New Roman"/>
                <w:sz w:val="20"/>
                <w:lang w:eastAsia="zh-CN"/>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eastAsia="zh-CN"/>
              </w:rPr>
            </w:pPr>
            <w:r>
              <w:rPr>
                <w:rFonts w:ascii="Times New Roman" w:hAnsi="Times New Roman"/>
                <w:sz w:val="20"/>
              </w:rPr>
              <w:t>0</w:t>
            </w:r>
          </w:p>
        </w:tc>
        <w:tc>
          <w:tcPr>
            <w:tcW w:w="0" w:type="auto"/>
            <w:shd w:val="clear" w:color="auto" w:fill="auto"/>
          </w:tcPr>
          <w:p>
            <w:pPr>
              <w:pStyle w:val="62"/>
              <w:rPr>
                <w:rFonts w:ascii="Times New Roman" w:hAnsi="Times New Roman"/>
                <w:sz w:val="20"/>
                <w:lang w:eastAsia="zh-CN"/>
              </w:rPr>
            </w:pPr>
            <w:r>
              <w:rPr>
                <w:rFonts w:ascii="Times New Roman" w:hAnsi="Times New Roman"/>
                <w:sz w:val="20"/>
              </w:rPr>
              <w:t>1</w:t>
            </w:r>
          </w:p>
        </w:tc>
        <w:tc>
          <w:tcPr>
            <w:tcW w:w="0" w:type="auto"/>
            <w:shd w:val="clear" w:color="auto" w:fill="auto"/>
          </w:tcPr>
          <w:p>
            <w:pPr>
              <w:pStyle w:val="62"/>
              <w:rPr>
                <w:rFonts w:ascii="Times New Roman" w:hAnsi="Times New Roman"/>
                <w:sz w:val="20"/>
              </w:rPr>
            </w:pPr>
            <w:r>
              <w:rPr>
                <w:rFonts w:ascii="Times New Roman" w:hAnsi="Times New Roman"/>
                <w:sz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eastAsia="zh-CN"/>
              </w:rPr>
            </w:pPr>
            <w:r>
              <w:rPr>
                <w:rFonts w:ascii="Times New Roman" w:hAnsi="Times New Roman"/>
                <w:sz w:val="20"/>
              </w:rPr>
              <w:t>1</w:t>
            </w:r>
          </w:p>
        </w:tc>
        <w:tc>
          <w:tcPr>
            <w:tcW w:w="0" w:type="auto"/>
            <w:shd w:val="clear" w:color="auto" w:fill="auto"/>
          </w:tcPr>
          <w:p>
            <w:pPr>
              <w:pStyle w:val="62"/>
              <w:rPr>
                <w:rFonts w:ascii="Times New Roman" w:hAnsi="Times New Roman"/>
                <w:sz w:val="20"/>
              </w:rPr>
            </w:pPr>
            <w:r>
              <w:rPr>
                <w:rFonts w:ascii="Times New Roman" w:hAnsi="Times New Roman"/>
                <w:sz w:val="20"/>
              </w:rPr>
              <w:t>2</w:t>
            </w:r>
          </w:p>
        </w:tc>
        <w:tc>
          <w:tcPr>
            <w:tcW w:w="0" w:type="auto"/>
            <w:shd w:val="clear" w:color="auto" w:fill="auto"/>
          </w:tcPr>
          <w:p>
            <w:pPr>
              <w:pStyle w:val="62"/>
              <w:rPr>
                <w:rFonts w:ascii="Times New Roman" w:hAnsi="Times New Roman"/>
                <w:sz w:val="20"/>
                <w:lang w:eastAsia="zh-CN"/>
              </w:rPr>
            </w:pPr>
            <w:r>
              <w:rPr>
                <w:rFonts w:ascii="Times New Roman" w:hAnsi="Times New Roman"/>
                <w:sz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eastAsia="zh-CN"/>
              </w:rPr>
            </w:pPr>
            <w:r>
              <w:rPr>
                <w:rFonts w:ascii="Times New Roman" w:hAnsi="Times New Roman"/>
                <w:sz w:val="20"/>
              </w:rPr>
              <w:t>2</w:t>
            </w:r>
          </w:p>
        </w:tc>
        <w:tc>
          <w:tcPr>
            <w:tcW w:w="0" w:type="auto"/>
            <w:shd w:val="clear" w:color="auto" w:fill="auto"/>
          </w:tcPr>
          <w:p>
            <w:pPr>
              <w:pStyle w:val="62"/>
              <w:rPr>
                <w:rFonts w:ascii="Times New Roman" w:hAnsi="Times New Roman"/>
                <w:sz w:val="20"/>
                <w:lang w:eastAsia="zh-CN"/>
              </w:rPr>
            </w:pPr>
            <w:r>
              <w:rPr>
                <w:rFonts w:ascii="Times New Roman" w:hAnsi="Times New Roman"/>
                <w:sz w:val="20"/>
              </w:rPr>
              <w:t>2</w:t>
            </w:r>
          </w:p>
        </w:tc>
        <w:tc>
          <w:tcPr>
            <w:tcW w:w="0" w:type="auto"/>
            <w:shd w:val="clear" w:color="auto" w:fill="auto"/>
          </w:tcPr>
          <w:p>
            <w:pPr>
              <w:pStyle w:val="62"/>
              <w:rPr>
                <w:rFonts w:ascii="Times New Roman" w:hAnsi="Times New Roman"/>
                <w:sz w:val="20"/>
                <w:lang w:eastAsia="zh-CN"/>
              </w:rPr>
            </w:pPr>
            <w:r>
              <w:rPr>
                <w:rFonts w:ascii="Times New Roman" w:hAnsi="Times New Roman"/>
                <w:sz w:val="20"/>
              </w:rPr>
              <mc:AlternateContent>
                <mc:Choice Requires="wps">
                  <w:drawing>
                    <wp:anchor distT="0" distB="0" distL="114300" distR="114300" simplePos="0" relativeHeight="251660288" behindDoc="0" locked="0" layoutInCell="1" allowOverlap="1">
                      <wp:simplePos x="0" y="0"/>
                      <wp:positionH relativeFrom="column">
                        <wp:posOffset>1116965</wp:posOffset>
                      </wp:positionH>
                      <wp:positionV relativeFrom="paragraph">
                        <wp:posOffset>87630</wp:posOffset>
                      </wp:positionV>
                      <wp:extent cx="941705" cy="329565"/>
                      <wp:effectExtent l="0" t="0" r="3175" b="5715"/>
                      <wp:wrapNone/>
                      <wp:docPr id="3" name="文本框 3"/>
                      <wp:cNvGraphicFramePr/>
                      <a:graphic xmlns:a="http://schemas.openxmlformats.org/drawingml/2006/main">
                        <a:graphicData uri="http://schemas.microsoft.com/office/word/2010/wordprocessingShape">
                          <wps:wsp>
                            <wps:cNvSpPr txBox="1"/>
                            <wps:spPr>
                              <a:xfrm>
                                <a:off x="6043930" y="3176270"/>
                                <a:ext cx="941705" cy="3295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Times New Roman" w:hAnsi="Times New Roman"/>
                                      <w:sz w:val="20"/>
                                      <w:szCs w:val="20"/>
                                    </w:rPr>
                                  </w:pPr>
                                  <w:r>
                                    <w:rPr>
                                      <w:rFonts w:ascii="Times New Roman" w:hAnsi="Times New Roman"/>
                                      <w:sz w:val="20"/>
                                      <w:szCs w:val="20"/>
                                    </w:rPr>
                                    <w:t>Rel-15 DMRS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7.95pt;margin-top:6.9pt;height:25.95pt;width:74.15pt;z-index:251660288;mso-width-relative:page;mso-height-relative:page;" fillcolor="#FFFFFF [3201]" filled="t" stroked="f" coordsize="21600,21600" o:gfxdata="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bFS1nTAAAACQEAAA8AAAAAAAAAAQAgAAAAIgAAAGRycy9kb3du&#10;cmV2LnhtbFBLAQIUABQAAAAIAIdO4kCvYHdrPQIAAEwEAAAOAAAAAAAAAAEAIAAAACIBAABkcnMv&#10;ZTJvRG9jLnhtbFBLBQYAAAAABgAGAFkBAADRBQAAAAA=&#10;">
                      <v:fill on="t" focussize="0,0"/>
                      <v:stroke on="f" weight="0.5pt"/>
                      <v:imagedata o:title=""/>
                      <o:lock v:ext="edit" aspectratio="f"/>
                      <v:textbox>
                        <w:txbxContent>
                          <w:p>
                            <w:pPr>
                              <w:rPr>
                                <w:rFonts w:ascii="Times New Roman" w:hAnsi="Times New Roman"/>
                                <w:sz w:val="20"/>
                                <w:szCs w:val="20"/>
                              </w:rPr>
                            </w:pPr>
                            <w:r>
                              <w:rPr>
                                <w:rFonts w:ascii="Times New Roman" w:hAnsi="Times New Roman"/>
                                <w:sz w:val="20"/>
                                <w:szCs w:val="20"/>
                              </w:rPr>
                              <w:t>Rel-15 DMRS</w:t>
                            </w:r>
                          </w:p>
                        </w:txbxContent>
                      </v:textbox>
                    </v:shape>
                  </w:pict>
                </mc:Fallback>
              </mc:AlternateContent>
            </w:r>
            <w:r>
              <w:rPr>
                <w:rFonts w:ascii="Times New Roman" w:hAnsi="Times New Roman"/>
                <w:sz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eastAsia="zh-CN"/>
              </w:rPr>
            </w:pPr>
            <w:r>
              <w:rPr>
                <w:rFonts w:ascii="Times New Roman" w:hAnsi="Times New Roman"/>
                <w:sz w:val="20"/>
              </w:rPr>
              <w:t>3</w:t>
            </w:r>
          </w:p>
        </w:tc>
        <w:tc>
          <w:tcPr>
            <w:tcW w:w="0" w:type="auto"/>
            <w:shd w:val="clear" w:color="auto" w:fill="auto"/>
          </w:tcPr>
          <w:p>
            <w:pPr>
              <w:pStyle w:val="62"/>
              <w:rPr>
                <w:rFonts w:ascii="Times New Roman" w:hAnsi="Times New Roman"/>
                <w:sz w:val="20"/>
                <w:lang w:eastAsia="zh-CN"/>
              </w:rPr>
            </w:pPr>
            <w:r>
              <w:rPr>
                <w:rFonts w:ascii="Times New Roman" w:hAnsi="Times New Roman"/>
                <w:sz w:val="20"/>
              </w:rPr>
              <w:t>3</w:t>
            </w:r>
          </w:p>
        </w:tc>
        <w:tc>
          <w:tcPr>
            <w:tcW w:w="0" w:type="auto"/>
            <w:shd w:val="clear" w:color="auto" w:fill="auto"/>
          </w:tcPr>
          <w:p>
            <w:pPr>
              <w:pStyle w:val="62"/>
              <w:rPr>
                <w:rFonts w:ascii="Times New Roman" w:hAnsi="Times New Roman"/>
                <w:sz w:val="20"/>
                <w:lang w:eastAsia="zh-CN"/>
              </w:rPr>
            </w:pPr>
            <w:r>
              <w:rPr>
                <w:rFonts w:ascii="Times New Roman" w:hAnsi="Times New Roman"/>
                <w:sz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eastAsia="zh-CN"/>
              </w:rPr>
            </w:pPr>
            <w:r>
              <w:rPr>
                <w:rFonts w:ascii="Times New Roman" w:hAnsi="Times New Roman"/>
                <w:sz w:val="20"/>
              </w:rPr>
              <w:t>4</w:t>
            </w:r>
          </w:p>
        </w:tc>
        <w:tc>
          <w:tcPr>
            <w:tcW w:w="0" w:type="auto"/>
            <w:shd w:val="clear" w:color="auto" w:fill="auto"/>
          </w:tcPr>
          <w:p>
            <w:pPr>
              <w:pStyle w:val="62"/>
              <w:rPr>
                <w:rFonts w:ascii="Times New Roman" w:hAnsi="Times New Roman"/>
                <w:sz w:val="20"/>
                <w:lang w:eastAsia="zh-CN"/>
              </w:rPr>
            </w:pPr>
            <w:r>
              <w:rPr>
                <w:rFonts w:ascii="Times New Roman" w:hAnsi="Times New Roman"/>
                <w:sz w:val="20"/>
              </w:rPr>
              <w:t>3</w:t>
            </w:r>
          </w:p>
        </w:tc>
        <w:tc>
          <w:tcPr>
            <w:tcW w:w="0" w:type="auto"/>
            <w:shd w:val="clear" w:color="auto" w:fill="auto"/>
          </w:tcPr>
          <w:p>
            <w:pPr>
              <w:pStyle w:val="62"/>
              <w:rPr>
                <w:rFonts w:ascii="Times New Roman" w:hAnsi="Times New Roman"/>
                <w:sz w:val="20"/>
                <w:lang w:eastAsia="zh-CN"/>
              </w:rPr>
            </w:pPr>
            <w:r>
              <w:rPr>
                <w:rFonts w:ascii="Times New Roman" w:hAnsi="Times New Roman"/>
                <w:sz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eastAsia="zh-CN"/>
              </w:rPr>
            </w:pPr>
            <w:r>
              <w:rPr>
                <w:rFonts w:ascii="Times New Roman" w:hAnsi="Times New Roman"/>
                <w:sz w:val="20"/>
              </w:rPr>
              <w:t>5</w:t>
            </w:r>
          </w:p>
        </w:tc>
        <w:tc>
          <w:tcPr>
            <w:tcW w:w="0" w:type="auto"/>
            <w:shd w:val="clear" w:color="auto" w:fill="auto"/>
          </w:tcPr>
          <w:p>
            <w:pPr>
              <w:pStyle w:val="62"/>
              <w:rPr>
                <w:rFonts w:ascii="Times New Roman" w:hAnsi="Times New Roman"/>
                <w:sz w:val="20"/>
                <w:lang w:eastAsia="zh-CN"/>
              </w:rPr>
            </w:pPr>
            <w:r>
              <w:rPr>
                <w:rFonts w:ascii="Times New Roman" w:hAnsi="Times New Roman"/>
                <w:sz w:val="20"/>
              </w:rPr>
              <w:t>3</w:t>
            </w:r>
          </w:p>
        </w:tc>
        <w:tc>
          <w:tcPr>
            <w:tcW w:w="0" w:type="auto"/>
            <w:shd w:val="clear" w:color="auto" w:fill="auto"/>
          </w:tcPr>
          <w:p>
            <w:pPr>
              <w:pStyle w:val="62"/>
              <w:rPr>
                <w:rFonts w:ascii="Times New Roman" w:hAnsi="Times New Roman"/>
                <w:sz w:val="20"/>
                <w:lang w:eastAsia="zh-CN"/>
              </w:rPr>
            </w:pPr>
            <w:r>
              <w:rPr>
                <w:rFonts w:ascii="Times New Roman" w:hAnsi="Times New Roman"/>
                <w:sz w:val="20"/>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eastAsia="zh-CN"/>
              </w:rPr>
            </w:pPr>
            <w:r>
              <w:rPr>
                <w:rFonts w:ascii="Times New Roman" w:hAnsi="Times New Roman"/>
                <w:sz w:val="20"/>
              </w:rPr>
              <w:t>6</w:t>
            </w:r>
          </w:p>
        </w:tc>
        <w:tc>
          <w:tcPr>
            <w:tcW w:w="0" w:type="auto"/>
            <w:shd w:val="clear" w:color="auto" w:fill="auto"/>
          </w:tcPr>
          <w:p>
            <w:pPr>
              <w:pStyle w:val="62"/>
              <w:rPr>
                <w:rFonts w:ascii="Times New Roman" w:hAnsi="Times New Roman"/>
                <w:sz w:val="20"/>
                <w:lang w:eastAsia="zh-CN"/>
              </w:rPr>
            </w:pPr>
            <w:r>
              <w:rPr>
                <w:rFonts w:ascii="Times New Roman" w:hAnsi="Times New Roman"/>
                <w:sz w:val="20"/>
              </w:rPr>
              <w:t>2</w:t>
            </w:r>
          </w:p>
        </w:tc>
        <w:tc>
          <w:tcPr>
            <w:tcW w:w="0" w:type="auto"/>
            <w:shd w:val="clear" w:color="auto" w:fill="auto"/>
          </w:tcPr>
          <w:p>
            <w:pPr>
              <w:pStyle w:val="62"/>
              <w:rPr>
                <w:rFonts w:ascii="Times New Roman" w:hAnsi="Times New Roman"/>
                <w:sz w:val="20"/>
                <w:lang w:eastAsia="zh-CN"/>
              </w:rPr>
            </w:pPr>
            <w:r>
              <w:rPr>
                <w:rFonts w:ascii="Times New Roman" w:hAnsi="Times New Roman"/>
                <w:sz w:val="2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rPr>
              <mc:AlternateContent>
                <mc:Choice Requires="wps">
                  <w:drawing>
                    <wp:anchor distT="0" distB="0" distL="114300" distR="114300" simplePos="0" relativeHeight="251661312" behindDoc="0" locked="0" layoutInCell="1" allowOverlap="1">
                      <wp:simplePos x="0" y="0"/>
                      <wp:positionH relativeFrom="column">
                        <wp:posOffset>-387985</wp:posOffset>
                      </wp:positionH>
                      <wp:positionV relativeFrom="paragraph">
                        <wp:posOffset>2540</wp:posOffset>
                      </wp:positionV>
                      <wp:extent cx="4608195" cy="1831340"/>
                      <wp:effectExtent l="13970" t="0" r="26035" b="21590"/>
                      <wp:wrapNone/>
                      <wp:docPr id="4" name="文本框 4"/>
                      <wp:cNvGraphicFramePr/>
                      <a:graphic xmlns:a="http://schemas.openxmlformats.org/drawingml/2006/main">
                        <a:graphicData uri="http://schemas.microsoft.com/office/word/2010/wordprocessingShape">
                          <wps:wsp>
                            <wps:cNvSpPr txBox="1"/>
                            <wps:spPr>
                              <a:xfrm>
                                <a:off x="0" y="0"/>
                                <a:ext cx="4608195" cy="1831340"/>
                              </a:xfrm>
                              <a:prstGeom prst="rect">
                                <a:avLst/>
                              </a:prstGeom>
                              <a:noFill/>
                              <a:ln w="28575">
                                <a:solidFill>
                                  <a:srgbClr val="00B0F0"/>
                                </a:solid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55pt;margin-top:0.2pt;height:144.2pt;width:362.85pt;z-index:251661312;mso-width-relative:page;mso-height-relative:page;" filled="f" stroked="t" coordsize="21600,21600" o:gfxdata="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QYLpD1QAAAAgBAAAPAAAAAAAAAAEAIAAAACIAAABkcnMvZG93bnJl&#10;di54bWxQSwECFAAUAAAACACHTuJA7MKOiTkCAABDBAAADgAAAAAAAAABACAAAAAkAQAAZHJzL2Uy&#10;b0RvYy54bWxQSwUGAAAAAAYABgBZAQAAzwUAAAAA&#10;">
                      <v:fill on="f" focussize="0,0"/>
                      <v:stroke weight="2.25pt" color="#00B0F0 [3204]" joinstyle="round"/>
                      <v:imagedata o:title=""/>
                      <o:lock v:ext="edit" aspectratio="f"/>
                      <v:textbox>
                        <w:txbxContent>
                          <w:p/>
                        </w:txbxContent>
                      </v:textbox>
                    </v:shape>
                  </w:pict>
                </mc:Fallback>
              </mc:AlternateContent>
            </w:r>
            <w:r>
              <w:rPr>
                <w:rFonts w:ascii="Times New Roman" w:hAnsi="Times New Roman"/>
                <w:sz w:val="20"/>
                <w:lang w:val="en-US" w:eastAsia="zh-CN"/>
              </w:rPr>
              <w:t>7</w:t>
            </w:r>
          </w:p>
        </w:tc>
        <w:tc>
          <w:tcPr>
            <w:tcW w:w="0" w:type="auto"/>
            <w:shd w:val="clear" w:color="auto" w:fill="auto"/>
          </w:tcPr>
          <w:p>
            <w:pPr>
              <w:pStyle w:val="62"/>
              <w:rPr>
                <w:rFonts w:ascii="Times New Roman" w:hAnsi="Times New Roman"/>
                <w:sz w:val="20"/>
              </w:rPr>
            </w:pPr>
            <w:r>
              <w:rPr>
                <w:rFonts w:ascii="Times New Roman" w:hAnsi="Times New Roman"/>
                <w:sz w:val="20"/>
              </w:rPr>
              <w:t>1</w:t>
            </w:r>
          </w:p>
        </w:tc>
        <w:tc>
          <w:tcPr>
            <w:tcW w:w="0" w:type="auto"/>
            <w:shd w:val="clear" w:color="auto" w:fill="auto"/>
          </w:tcPr>
          <w:p>
            <w:pPr>
              <w:pStyle w:val="62"/>
              <w:rPr>
                <w:rFonts w:ascii="Times New Roman" w:hAnsi="Times New Roman"/>
                <w:sz w:val="20"/>
              </w:rPr>
            </w:pPr>
            <w:r>
              <w:rPr>
                <w:rFonts w:ascii="Times New Roman" w:hAnsi="Times New Roman"/>
                <w:sz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8</w:t>
            </w:r>
          </w:p>
        </w:tc>
        <w:tc>
          <w:tcPr>
            <w:tcW w:w="0" w:type="auto"/>
            <w:shd w:val="clear" w:color="auto" w:fill="auto"/>
          </w:tcPr>
          <w:p>
            <w:pPr>
              <w:pStyle w:val="62"/>
              <w:rPr>
                <w:rFonts w:ascii="Times New Roman" w:hAnsi="Times New Roman"/>
                <w:sz w:val="20"/>
              </w:rPr>
            </w:pPr>
            <w:r>
              <w:rPr>
                <w:rFonts w:ascii="Times New Roman" w:hAnsi="Times New Roman"/>
                <w:sz w:val="20"/>
              </w:rPr>
              <w:t>1</w:t>
            </w:r>
          </w:p>
        </w:tc>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9</w:t>
            </w:r>
          </w:p>
        </w:tc>
        <w:tc>
          <w:tcPr>
            <w:tcW w:w="0" w:type="auto"/>
            <w:shd w:val="clear" w:color="auto" w:fill="auto"/>
          </w:tcPr>
          <w:p>
            <w:pPr>
              <w:pStyle w:val="62"/>
              <w:rPr>
                <w:rFonts w:ascii="Times New Roman" w:hAnsi="Times New Roman"/>
                <w:sz w:val="20"/>
              </w:rPr>
            </w:pPr>
            <w:r>
              <w:rPr>
                <w:rFonts w:ascii="Times New Roman" w:hAnsi="Times New Roman"/>
                <w:sz w:val="20"/>
              </w:rPr>
              <w:t>2</w:t>
            </w:r>
          </w:p>
        </w:tc>
        <w:tc>
          <w:tcPr>
            <w:tcW w:w="0" w:type="auto"/>
            <w:shd w:val="clear" w:color="auto" w:fill="auto"/>
          </w:tcPr>
          <w:p>
            <w:pPr>
              <w:pStyle w:val="62"/>
              <w:rPr>
                <w:rFonts w:ascii="Times New Roman" w:hAnsi="Times New Roman"/>
                <w:sz w:val="20"/>
              </w:rPr>
            </w:pPr>
            <w:r>
              <w:rPr>
                <w:rFonts w:ascii="Times New Roman" w:hAnsi="Times New Roman"/>
                <w:sz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10</w:t>
            </w:r>
          </w:p>
        </w:tc>
        <w:tc>
          <w:tcPr>
            <w:tcW w:w="0" w:type="auto"/>
            <w:shd w:val="clear" w:color="auto" w:fill="auto"/>
          </w:tcPr>
          <w:p>
            <w:pPr>
              <w:pStyle w:val="62"/>
              <w:rPr>
                <w:rFonts w:ascii="Times New Roman" w:hAnsi="Times New Roman"/>
                <w:sz w:val="20"/>
              </w:rPr>
            </w:pPr>
            <w:r>
              <w:rPr>
                <w:rFonts w:ascii="Times New Roman" w:hAnsi="Times New Roman"/>
                <w:sz w:val="20"/>
              </w:rPr>
              <w:t>2</w:t>
            </w:r>
          </w:p>
        </w:tc>
        <w:tc>
          <w:tcPr>
            <w:tcW w:w="0" w:type="auto"/>
            <w:shd w:val="clear" w:color="auto" w:fill="auto"/>
          </w:tcPr>
          <w:p>
            <w:pPr>
              <w:pStyle w:val="62"/>
              <w:rPr>
                <w:rFonts w:ascii="Times New Roman" w:hAnsi="Times New Roman"/>
                <w:sz w:val="20"/>
              </w:rPr>
            </w:pPr>
            <w:r>
              <w:rPr>
                <w:rFonts w:ascii="Times New Roman" w:hAnsi="Times New Roman"/>
                <w:sz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11</w:t>
            </w:r>
          </w:p>
        </w:tc>
        <w:tc>
          <w:tcPr>
            <w:tcW w:w="0" w:type="auto"/>
            <w:shd w:val="clear" w:color="auto" w:fill="auto"/>
          </w:tcPr>
          <w:p>
            <w:pPr>
              <w:pStyle w:val="62"/>
              <w:rPr>
                <w:rFonts w:ascii="Times New Roman" w:hAnsi="Times New Roman"/>
                <w:sz w:val="20"/>
              </w:rPr>
            </w:pPr>
            <w:r>
              <w:rPr>
                <w:rFonts w:ascii="Times New Roman" w:hAnsi="Times New Roman"/>
                <w:sz w:val="20"/>
              </w:rPr>
              <w:t>2</w:t>
            </w:r>
          </w:p>
        </w:tc>
        <w:tc>
          <w:tcPr>
            <w:tcW w:w="0" w:type="auto"/>
            <w:shd w:val="clear" w:color="auto" w:fill="auto"/>
          </w:tcPr>
          <w:p>
            <w:pPr>
              <w:pStyle w:val="62"/>
              <w:rPr>
                <w:rFonts w:ascii="Times New Roman" w:hAnsi="Times New Roman"/>
                <w:sz w:val="20"/>
                <w:lang w:val="en-US" w:eastAsia="zh-CN"/>
              </w:rPr>
            </w:pPr>
            <w:r>
              <w:rPr>
                <w:rFonts w:ascii="Times New Roman" w:hAnsi="Times New Roman"/>
                <w:sz w:val="20"/>
              </w:rPr>
              <mc:AlternateContent>
                <mc:Choice Requires="wps">
                  <w:drawing>
                    <wp:anchor distT="0" distB="0" distL="114300" distR="114300" simplePos="0" relativeHeight="251662336" behindDoc="0" locked="0" layoutInCell="1" allowOverlap="1">
                      <wp:simplePos x="0" y="0"/>
                      <wp:positionH relativeFrom="column">
                        <wp:posOffset>1128395</wp:posOffset>
                      </wp:positionH>
                      <wp:positionV relativeFrom="paragraph">
                        <wp:posOffset>78740</wp:posOffset>
                      </wp:positionV>
                      <wp:extent cx="941705" cy="329565"/>
                      <wp:effectExtent l="0" t="0" r="3175" b="5715"/>
                      <wp:wrapNone/>
                      <wp:docPr id="5" name="文本框 5"/>
                      <wp:cNvGraphicFramePr/>
                      <a:graphic xmlns:a="http://schemas.openxmlformats.org/drawingml/2006/main">
                        <a:graphicData uri="http://schemas.microsoft.com/office/word/2010/wordprocessingShape">
                          <wps:wsp>
                            <wps:cNvSpPr txBox="1"/>
                            <wps:spPr>
                              <a:xfrm>
                                <a:off x="0" y="0"/>
                                <a:ext cx="941705" cy="3295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Times New Roman" w:hAnsi="Times New Roman"/>
                                      <w:sz w:val="20"/>
                                      <w:szCs w:val="20"/>
                                    </w:rPr>
                                  </w:pPr>
                                  <w:r>
                                    <w:rPr>
                                      <w:rFonts w:ascii="Times New Roman" w:hAnsi="Times New Roman"/>
                                      <w:sz w:val="20"/>
                                      <w:szCs w:val="20"/>
                                    </w:rPr>
                                    <w:t>Rel-1</w:t>
                                  </w:r>
                                  <w:r>
                                    <w:rPr>
                                      <w:rFonts w:hint="eastAsia" w:ascii="Times New Roman" w:hAnsi="Times New Roman"/>
                                      <w:sz w:val="20"/>
                                      <w:szCs w:val="20"/>
                                    </w:rPr>
                                    <w:t>8</w:t>
                                  </w:r>
                                  <w:r>
                                    <w:rPr>
                                      <w:rFonts w:ascii="Times New Roman" w:hAnsi="Times New Roman"/>
                                      <w:sz w:val="20"/>
                                      <w:szCs w:val="20"/>
                                    </w:rPr>
                                    <w:t xml:space="preserve"> DMRS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8.85pt;margin-top:6.2pt;height:25.95pt;width:74.15pt;z-index:251662336;mso-width-relative:page;mso-height-relative:page;" fillcolor="#FFFFFF [3201]" filled="t" stroked="f" coordsize="21600,21600" o:gfxdata="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w6op1AAAAAkBAAAPAAAAAAAAAAEAIAAAACIAAABkcnMvZG93bnJldi54bWxQ&#10;SwECFAAUAAAACACHTuJANMKo0DQCAABABAAADgAAAAAAAAABACAAAAAjAQAAZHJzL2Uyb0RvYy54&#10;bWxQSwUGAAAAAAYABgBZAQAAyQUAAAAA&#10;">
                      <v:fill on="t" focussize="0,0"/>
                      <v:stroke on="f" weight="0.5pt"/>
                      <v:imagedata o:title=""/>
                      <o:lock v:ext="edit" aspectratio="f"/>
                      <v:textbox>
                        <w:txbxContent>
                          <w:p>
                            <w:pPr>
                              <w:rPr>
                                <w:rFonts w:ascii="Times New Roman" w:hAnsi="Times New Roman"/>
                                <w:sz w:val="20"/>
                                <w:szCs w:val="20"/>
                              </w:rPr>
                            </w:pPr>
                            <w:r>
                              <w:rPr>
                                <w:rFonts w:ascii="Times New Roman" w:hAnsi="Times New Roman"/>
                                <w:sz w:val="20"/>
                                <w:szCs w:val="20"/>
                              </w:rPr>
                              <w:t>Rel-1</w:t>
                            </w:r>
                            <w:r>
                              <w:rPr>
                                <w:rFonts w:hint="eastAsia" w:ascii="Times New Roman" w:hAnsi="Times New Roman"/>
                                <w:sz w:val="20"/>
                                <w:szCs w:val="20"/>
                              </w:rPr>
                              <w:t>8</w:t>
                            </w:r>
                            <w:r>
                              <w:rPr>
                                <w:rFonts w:ascii="Times New Roman" w:hAnsi="Times New Roman"/>
                                <w:sz w:val="20"/>
                                <w:szCs w:val="20"/>
                              </w:rPr>
                              <w:t xml:space="preserve"> DMRS</w:t>
                            </w:r>
                          </w:p>
                        </w:txbxContent>
                      </v:textbox>
                    </v:shape>
                  </w:pict>
                </mc:Fallback>
              </mc:AlternateContent>
            </w:r>
            <w:r>
              <w:rPr>
                <w:rFonts w:ascii="Times New Roman" w:hAnsi="Times New Roman"/>
                <w:sz w:val="20"/>
                <w:lang w:val="en-US" w:eastAsia="zh-CN"/>
              </w:rPr>
              <w:t>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12</w:t>
            </w:r>
          </w:p>
        </w:tc>
        <w:tc>
          <w:tcPr>
            <w:tcW w:w="0" w:type="auto"/>
            <w:shd w:val="clear" w:color="auto" w:fill="auto"/>
          </w:tcPr>
          <w:p>
            <w:pPr>
              <w:pStyle w:val="62"/>
              <w:rPr>
                <w:rFonts w:ascii="Times New Roman" w:hAnsi="Times New Roman"/>
                <w:sz w:val="20"/>
              </w:rPr>
            </w:pPr>
            <w:r>
              <w:rPr>
                <w:rFonts w:ascii="Times New Roman" w:hAnsi="Times New Roman"/>
                <w:sz w:val="20"/>
              </w:rPr>
              <w:t>2</w:t>
            </w:r>
          </w:p>
        </w:tc>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13</w:t>
            </w:r>
          </w:p>
        </w:tc>
        <w:tc>
          <w:tcPr>
            <w:tcW w:w="0" w:type="auto"/>
            <w:shd w:val="clear" w:color="auto" w:fill="auto"/>
          </w:tcPr>
          <w:p>
            <w:pPr>
              <w:pStyle w:val="62"/>
              <w:rPr>
                <w:rFonts w:ascii="Times New Roman" w:hAnsi="Times New Roman"/>
                <w:sz w:val="20"/>
              </w:rPr>
            </w:pPr>
            <w:r>
              <w:rPr>
                <w:rFonts w:ascii="Times New Roman" w:hAnsi="Times New Roman"/>
                <w:sz w:val="20"/>
              </w:rPr>
              <w:t>3</w:t>
            </w:r>
          </w:p>
        </w:tc>
        <w:tc>
          <w:tcPr>
            <w:tcW w:w="0" w:type="auto"/>
            <w:shd w:val="clear" w:color="auto" w:fill="auto"/>
          </w:tcPr>
          <w:p>
            <w:pPr>
              <w:pStyle w:val="62"/>
              <w:rPr>
                <w:rFonts w:ascii="Times New Roman" w:hAnsi="Times New Roman"/>
                <w:sz w:val="20"/>
              </w:rPr>
            </w:pPr>
            <w:r>
              <w:rPr>
                <w:rFonts w:ascii="Times New Roman" w:hAnsi="Times New Roman"/>
                <w:sz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14</w:t>
            </w:r>
          </w:p>
        </w:tc>
        <w:tc>
          <w:tcPr>
            <w:tcW w:w="0" w:type="auto"/>
            <w:shd w:val="clear" w:color="auto" w:fill="auto"/>
          </w:tcPr>
          <w:p>
            <w:pPr>
              <w:pStyle w:val="62"/>
              <w:rPr>
                <w:rFonts w:ascii="Times New Roman" w:hAnsi="Times New Roman"/>
                <w:sz w:val="20"/>
              </w:rPr>
            </w:pPr>
            <w:r>
              <w:rPr>
                <w:rFonts w:ascii="Times New Roman" w:hAnsi="Times New Roman"/>
                <w:sz w:val="20"/>
              </w:rPr>
              <w:t>3</w:t>
            </w:r>
          </w:p>
        </w:tc>
        <w:tc>
          <w:tcPr>
            <w:tcW w:w="0" w:type="auto"/>
            <w:shd w:val="clear" w:color="auto" w:fill="auto"/>
          </w:tcPr>
          <w:p>
            <w:pPr>
              <w:pStyle w:val="62"/>
              <w:rPr>
                <w:rFonts w:ascii="Times New Roman" w:hAnsi="Times New Roman"/>
                <w:sz w:val="20"/>
              </w:rPr>
            </w:pPr>
            <w:r>
              <w:rPr>
                <w:rFonts w:ascii="Times New Roman" w:hAnsi="Times New Roman"/>
                <w:sz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15</w:t>
            </w:r>
          </w:p>
        </w:tc>
        <w:tc>
          <w:tcPr>
            <w:tcW w:w="0" w:type="auto"/>
            <w:shd w:val="clear" w:color="auto" w:fill="auto"/>
          </w:tcPr>
          <w:p>
            <w:pPr>
              <w:pStyle w:val="62"/>
              <w:rPr>
                <w:rFonts w:ascii="Times New Roman" w:hAnsi="Times New Roman"/>
                <w:sz w:val="20"/>
              </w:rPr>
            </w:pPr>
            <w:r>
              <w:rPr>
                <w:rFonts w:ascii="Times New Roman" w:hAnsi="Times New Roman"/>
                <w:sz w:val="20"/>
              </w:rPr>
              <w:t>3</w:t>
            </w:r>
          </w:p>
        </w:tc>
        <w:tc>
          <w:tcPr>
            <w:tcW w:w="0" w:type="auto"/>
            <w:shd w:val="clear" w:color="auto" w:fill="auto"/>
          </w:tcPr>
          <w:p>
            <w:pPr>
              <w:pStyle w:val="62"/>
              <w:rPr>
                <w:rFonts w:ascii="Times New Roman" w:hAnsi="Times New Roman"/>
                <w:sz w:val="20"/>
              </w:rPr>
            </w:pPr>
            <w:r>
              <w:rPr>
                <w:rFonts w:ascii="Times New Roman" w:hAnsi="Times New Roman"/>
                <w:sz w:val="20"/>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16</w:t>
            </w:r>
          </w:p>
        </w:tc>
        <w:tc>
          <w:tcPr>
            <w:tcW w:w="0" w:type="auto"/>
            <w:shd w:val="clear" w:color="auto" w:fill="auto"/>
          </w:tcPr>
          <w:p>
            <w:pPr>
              <w:pStyle w:val="62"/>
              <w:rPr>
                <w:rFonts w:ascii="Times New Roman" w:hAnsi="Times New Roman"/>
                <w:sz w:val="20"/>
              </w:rPr>
            </w:pPr>
            <w:r>
              <w:rPr>
                <w:rFonts w:ascii="Times New Roman" w:hAnsi="Times New Roman"/>
                <w:sz w:val="20"/>
              </w:rPr>
              <w:t>3</w:t>
            </w:r>
          </w:p>
        </w:tc>
        <w:tc>
          <w:tcPr>
            <w:tcW w:w="1239" w:type="dxa"/>
            <w:shd w:val="clear" w:color="auto" w:fill="auto"/>
          </w:tcPr>
          <w:p>
            <w:pPr>
              <w:pStyle w:val="62"/>
              <w:rPr>
                <w:rFonts w:ascii="Times New Roman" w:hAnsi="Times New Roman"/>
                <w:sz w:val="20"/>
                <w:lang w:val="en-US" w:eastAsia="zh-CN"/>
              </w:rPr>
            </w:pPr>
            <w:r>
              <w:rPr>
                <w:rFonts w:hint="eastAsia" w:ascii="Times New Roman" w:hAnsi="Times New Roman"/>
                <w:sz w:val="20"/>
                <w:lang w:val="en-US" w:eastAsia="zh-CN"/>
              </w:rPr>
              <w:t>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17</w:t>
            </w:r>
          </w:p>
        </w:tc>
        <w:tc>
          <w:tcPr>
            <w:tcW w:w="0" w:type="auto"/>
            <w:shd w:val="clear" w:color="auto" w:fill="auto"/>
          </w:tcPr>
          <w:p>
            <w:pPr>
              <w:pStyle w:val="62"/>
              <w:rPr>
                <w:rFonts w:ascii="Times New Roman" w:hAnsi="Times New Roman"/>
                <w:sz w:val="20"/>
              </w:rPr>
            </w:pPr>
            <w:r>
              <w:rPr>
                <w:rFonts w:ascii="Times New Roman" w:hAnsi="Times New Roman"/>
                <w:sz w:val="20"/>
              </w:rPr>
              <w:t>3</w:t>
            </w:r>
          </w:p>
        </w:tc>
        <w:tc>
          <w:tcPr>
            <w:tcW w:w="1239" w:type="dxa"/>
            <w:shd w:val="clear" w:color="auto" w:fill="auto"/>
          </w:tcPr>
          <w:p>
            <w:pPr>
              <w:pStyle w:val="62"/>
              <w:rPr>
                <w:rFonts w:ascii="Times New Roman" w:hAnsi="Times New Roman"/>
                <w:sz w:val="20"/>
              </w:rPr>
            </w:pPr>
            <w:r>
              <w:rPr>
                <w:rFonts w:ascii="Times New Roman" w:hAnsi="Times New Roman"/>
                <w:sz w:val="20"/>
                <w:lang w:val="en-US" w:eastAsia="zh-CN"/>
              </w:rPr>
              <w:t>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18</w:t>
            </w:r>
          </w:p>
        </w:tc>
        <w:tc>
          <w:tcPr>
            <w:tcW w:w="0" w:type="auto"/>
            <w:shd w:val="clear" w:color="auto" w:fill="auto"/>
          </w:tcPr>
          <w:p>
            <w:pPr>
              <w:pStyle w:val="62"/>
              <w:rPr>
                <w:rFonts w:ascii="Times New Roman" w:hAnsi="Times New Roman"/>
                <w:sz w:val="20"/>
              </w:rPr>
            </w:pPr>
            <w:r>
              <w:rPr>
                <w:rFonts w:ascii="Times New Roman" w:hAnsi="Times New Roman"/>
                <w:sz w:val="20"/>
              </w:rPr>
              <w:t>3</w:t>
            </w:r>
          </w:p>
        </w:tc>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16,17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19-3</w:t>
            </w:r>
            <w:r>
              <w:rPr>
                <w:rFonts w:hint="eastAsia" w:ascii="Times New Roman" w:hAnsi="Times New Roman"/>
                <w:sz w:val="20"/>
                <w:lang w:val="en-US" w:eastAsia="zh-CN"/>
              </w:rPr>
              <w:t>1</w:t>
            </w:r>
          </w:p>
        </w:tc>
        <w:tc>
          <w:tcPr>
            <w:tcW w:w="0" w:type="auto"/>
            <w:shd w:val="clear" w:color="auto" w:fill="auto"/>
          </w:tcPr>
          <w:p>
            <w:pPr>
              <w:pStyle w:val="62"/>
              <w:rPr>
                <w:rFonts w:ascii="Times New Roman" w:hAnsi="Times New Roman"/>
                <w:sz w:val="20"/>
                <w:lang w:val="en-US" w:eastAsia="zh-CN"/>
              </w:rPr>
            </w:pPr>
            <w:r>
              <w:rPr>
                <w:rFonts w:ascii="Times New Roman" w:hAnsi="Times New Roman"/>
                <w:sz w:val="20"/>
                <w:lang w:val="en-US" w:eastAsia="zh-CN"/>
              </w:rPr>
              <w:t>Reserved</w:t>
            </w:r>
          </w:p>
        </w:tc>
        <w:tc>
          <w:tcPr>
            <w:tcW w:w="0" w:type="auto"/>
            <w:shd w:val="clear" w:color="auto" w:fill="auto"/>
          </w:tcPr>
          <w:p>
            <w:pPr>
              <w:pStyle w:val="62"/>
              <w:rPr>
                <w:rFonts w:ascii="Times New Roman" w:hAnsi="Times New Roman"/>
                <w:sz w:val="20"/>
              </w:rPr>
            </w:pPr>
            <w:r>
              <w:rPr>
                <w:rFonts w:ascii="Times New Roman" w:hAnsi="Times New Roman"/>
                <w:sz w:val="20"/>
                <w:lang w:val="en-US" w:eastAsia="zh-CN"/>
              </w:rPr>
              <w:t>Reserved</w:t>
            </w:r>
          </w:p>
        </w:tc>
      </w:tr>
    </w:tbl>
    <w:p>
      <w:pPr>
        <w:numPr>
          <w:ilvl w:val="0"/>
          <w:numId w:val="8"/>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Alt 2: Two separate tables are used to indicate the DMRS ports of Rel-15 and Rel-18, wherein the following Table 2 is used for Rel-18 DMRS.</w:t>
      </w:r>
    </w:p>
    <w:p>
      <w:pPr>
        <w:pStyle w:val="64"/>
        <w:overflowPunct w:val="0"/>
        <w:autoSpaceDE w:val="0"/>
        <w:autoSpaceDN w:val="0"/>
        <w:adjustRightInd w:val="0"/>
        <w:textAlignment w:val="baseline"/>
        <w:rPr>
          <w:rFonts w:ascii="Times New Roman" w:hAnsi="Times New Roman"/>
          <w:b w:val="0"/>
          <w:bCs/>
        </w:rPr>
      </w:pPr>
      <w:r>
        <w:rPr>
          <w:rFonts w:ascii="Times New Roman" w:hAnsi="Times New Roman"/>
        </w:rPr>
        <w:t>Table</w:t>
      </w:r>
      <w:r>
        <w:rPr>
          <w:rFonts w:ascii="Times New Roman" w:hAnsi="Times New Roman"/>
          <w:lang w:val="en-US" w:eastAsia="zh-CN"/>
        </w:rPr>
        <w:t xml:space="preserve"> 2</w:t>
      </w:r>
      <w:r>
        <w:rPr>
          <w:rFonts w:ascii="Times New Roman" w:hAnsi="Times New Roman"/>
          <w:b w:val="0"/>
          <w:bCs/>
        </w:rPr>
        <w:t xml:space="preserve"> Antenna port(s), transform precoder is disabled, </w:t>
      </w:r>
      <w:r>
        <w:rPr>
          <w:rFonts w:ascii="Times New Roman" w:hAnsi="Times New Roman"/>
          <w:b w:val="0"/>
          <w:bCs/>
          <w:i/>
        </w:rPr>
        <w:t>dmrs-Type</w:t>
      </w:r>
      <w:r>
        <w:rPr>
          <w:rFonts w:ascii="Times New Roman" w:hAnsi="Times New Roman"/>
          <w:b w:val="0"/>
          <w:bCs/>
        </w:rPr>
        <w:t xml:space="preserve">=2, </w:t>
      </w:r>
      <w:r>
        <w:rPr>
          <w:rFonts w:ascii="Times New Roman" w:hAnsi="Times New Roman"/>
          <w:b w:val="0"/>
          <w:bCs/>
          <w:i/>
        </w:rPr>
        <w:t>maxLength</w:t>
      </w:r>
      <w:r>
        <w:rPr>
          <w:rFonts w:ascii="Times New Roman" w:hAnsi="Times New Roman"/>
          <w:b w:val="0"/>
          <w:bCs/>
        </w:rPr>
        <w:t>=1, rank=2</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3621"/>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3621" w:type="dxa"/>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sz w:val="20"/>
              </w:rPr>
            </w:pPr>
            <w:r>
              <w:rPr>
                <w:rFonts w:ascii="Times New Roman" w:hAnsi="Times New Roman"/>
                <w:sz w:val="20"/>
              </w:rPr>
              <w:t>0</w:t>
            </w:r>
          </w:p>
        </w:tc>
        <w:tc>
          <w:tcPr>
            <w:tcW w:w="3621" w:type="dxa"/>
            <w:shd w:val="clear" w:color="auto" w:fill="auto"/>
          </w:tcPr>
          <w:p>
            <w:pPr>
              <w:pStyle w:val="62"/>
              <w:rPr>
                <w:rFonts w:ascii="Times New Roman" w:hAnsi="Times New Roman"/>
                <w:sz w:val="20"/>
              </w:rPr>
            </w:pPr>
            <w:r>
              <w:rPr>
                <w:rFonts w:ascii="Times New Roman" w:hAnsi="Times New Roman"/>
                <w:sz w:val="20"/>
              </w:rPr>
              <w:t>1</w:t>
            </w:r>
          </w:p>
        </w:tc>
        <w:tc>
          <w:tcPr>
            <w:tcW w:w="1239" w:type="dxa"/>
            <w:shd w:val="clear" w:color="auto" w:fill="auto"/>
          </w:tcPr>
          <w:p>
            <w:pPr>
              <w:pStyle w:val="62"/>
              <w:rPr>
                <w:rFonts w:ascii="Times New Roman" w:hAnsi="Times New Roman"/>
                <w:sz w:val="20"/>
              </w:rPr>
            </w:pPr>
            <w:r>
              <w:rPr>
                <w:rFonts w:ascii="Times New Roman" w:hAnsi="Times New Roman"/>
                <w:sz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eastAsia="宋体"/>
                <w:sz w:val="20"/>
                <w:lang w:val="en-US" w:eastAsia="zh-CN"/>
              </w:rPr>
            </w:pPr>
            <w:r>
              <w:rPr>
                <w:rFonts w:ascii="Times New Roman" w:hAnsi="Times New Roman" w:eastAsia="宋体"/>
                <w:sz w:val="20"/>
                <w:lang w:val="en-US" w:eastAsia="zh-CN"/>
              </w:rPr>
              <w:t>1</w:t>
            </w:r>
          </w:p>
        </w:tc>
        <w:tc>
          <w:tcPr>
            <w:tcW w:w="3621" w:type="dxa"/>
            <w:shd w:val="clear" w:color="auto" w:fill="auto"/>
          </w:tcPr>
          <w:p>
            <w:pPr>
              <w:pStyle w:val="62"/>
              <w:rPr>
                <w:rFonts w:ascii="Times New Roman" w:hAnsi="Times New Roman"/>
                <w:sz w:val="20"/>
                <w:highlight w:val="yellow"/>
              </w:rPr>
            </w:pPr>
            <w:r>
              <w:rPr>
                <w:rFonts w:ascii="Times New Roman" w:hAnsi="Times New Roman"/>
                <w:sz w:val="20"/>
              </w:rPr>
              <w:t>1</w:t>
            </w:r>
          </w:p>
        </w:tc>
        <w:tc>
          <w:tcPr>
            <w:tcW w:w="1239" w:type="dxa"/>
            <w:shd w:val="clear" w:color="auto" w:fill="auto"/>
          </w:tcPr>
          <w:p>
            <w:pPr>
              <w:pStyle w:val="62"/>
              <w:rPr>
                <w:rFonts w:ascii="Times New Roman" w:hAnsi="Times New Roman"/>
                <w:sz w:val="20"/>
                <w:highlight w:val="yellow"/>
              </w:rPr>
            </w:pPr>
            <w:r>
              <w:rPr>
                <w:rFonts w:ascii="Times New Roman" w:hAnsi="Times New Roman"/>
                <w:sz w:val="20"/>
                <w:lang w:val="en-US" w:eastAsia="zh-CN"/>
              </w:rPr>
              <w:t>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eastAsia="宋体"/>
                <w:sz w:val="20"/>
                <w:lang w:val="en-US" w:eastAsia="zh-CN"/>
              </w:rPr>
            </w:pPr>
            <w:r>
              <w:rPr>
                <w:rFonts w:ascii="Times New Roman" w:hAnsi="Times New Roman" w:eastAsia="宋体"/>
                <w:sz w:val="20"/>
                <w:lang w:val="en-US" w:eastAsia="zh-CN"/>
              </w:rPr>
              <w:t>2</w:t>
            </w:r>
          </w:p>
        </w:tc>
        <w:tc>
          <w:tcPr>
            <w:tcW w:w="3621" w:type="dxa"/>
            <w:shd w:val="clear" w:color="auto" w:fill="auto"/>
          </w:tcPr>
          <w:p>
            <w:pPr>
              <w:pStyle w:val="62"/>
              <w:rPr>
                <w:rFonts w:ascii="Times New Roman" w:hAnsi="Times New Roman"/>
                <w:sz w:val="20"/>
              </w:rPr>
            </w:pPr>
            <w:r>
              <w:rPr>
                <w:rFonts w:ascii="Times New Roman" w:hAnsi="Times New Roman"/>
                <w:sz w:val="20"/>
              </w:rPr>
              <w:t>2</w:t>
            </w:r>
          </w:p>
        </w:tc>
        <w:tc>
          <w:tcPr>
            <w:tcW w:w="1239" w:type="dxa"/>
            <w:shd w:val="clear" w:color="auto" w:fill="auto"/>
          </w:tcPr>
          <w:p>
            <w:pPr>
              <w:pStyle w:val="62"/>
              <w:rPr>
                <w:rFonts w:ascii="Times New Roman" w:hAnsi="Times New Roman"/>
                <w:sz w:val="20"/>
              </w:rPr>
            </w:pPr>
            <w:r>
              <w:rPr>
                <w:rFonts w:ascii="Times New Roman" w:hAnsi="Times New Roman"/>
                <w:sz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eastAsia="宋体"/>
                <w:sz w:val="20"/>
                <w:lang w:eastAsia="zh-CN"/>
              </w:rPr>
            </w:pPr>
            <w:r>
              <w:rPr>
                <w:rFonts w:ascii="Times New Roman" w:hAnsi="Times New Roman" w:eastAsia="宋体"/>
                <w:sz w:val="20"/>
                <w:lang w:val="en-US" w:eastAsia="zh-CN"/>
              </w:rPr>
              <w:t>3</w:t>
            </w:r>
          </w:p>
        </w:tc>
        <w:tc>
          <w:tcPr>
            <w:tcW w:w="3621" w:type="dxa"/>
            <w:shd w:val="clear" w:color="auto" w:fill="auto"/>
          </w:tcPr>
          <w:p>
            <w:pPr>
              <w:pStyle w:val="62"/>
              <w:rPr>
                <w:rFonts w:ascii="Times New Roman" w:hAnsi="Times New Roman"/>
                <w:sz w:val="20"/>
              </w:rPr>
            </w:pPr>
            <w:r>
              <w:rPr>
                <w:rFonts w:ascii="Times New Roman" w:hAnsi="Times New Roman"/>
                <w:sz w:val="20"/>
              </w:rPr>
              <w:t>2</w:t>
            </w:r>
          </w:p>
        </w:tc>
        <w:tc>
          <w:tcPr>
            <w:tcW w:w="1239" w:type="dxa"/>
            <w:shd w:val="clear" w:color="auto" w:fill="auto"/>
          </w:tcPr>
          <w:p>
            <w:pPr>
              <w:pStyle w:val="62"/>
              <w:rPr>
                <w:rFonts w:ascii="Times New Roman" w:hAnsi="Times New Roman"/>
                <w:sz w:val="20"/>
              </w:rPr>
            </w:pPr>
            <w:r>
              <w:rPr>
                <w:rFonts w:ascii="Times New Roman" w:hAnsi="Times New Roman"/>
                <w:sz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eastAsia="宋体"/>
                <w:sz w:val="20"/>
                <w:lang w:eastAsia="zh-CN"/>
              </w:rPr>
            </w:pPr>
            <w:r>
              <w:rPr>
                <w:rFonts w:ascii="Times New Roman" w:hAnsi="Times New Roman" w:eastAsia="宋体"/>
                <w:sz w:val="20"/>
                <w:lang w:val="en-US" w:eastAsia="zh-CN"/>
              </w:rPr>
              <w:t>4</w:t>
            </w:r>
          </w:p>
        </w:tc>
        <w:tc>
          <w:tcPr>
            <w:tcW w:w="3621" w:type="dxa"/>
            <w:shd w:val="clear" w:color="auto" w:fill="auto"/>
          </w:tcPr>
          <w:p>
            <w:pPr>
              <w:pStyle w:val="62"/>
              <w:rPr>
                <w:rFonts w:ascii="Times New Roman" w:hAnsi="Times New Roman"/>
                <w:sz w:val="20"/>
                <w:highlight w:val="yellow"/>
              </w:rPr>
            </w:pPr>
            <w:r>
              <w:rPr>
                <w:rFonts w:ascii="Times New Roman" w:hAnsi="Times New Roman"/>
                <w:sz w:val="20"/>
              </w:rPr>
              <w:t>2</w:t>
            </w:r>
          </w:p>
        </w:tc>
        <w:tc>
          <w:tcPr>
            <w:tcW w:w="1239" w:type="dxa"/>
            <w:shd w:val="clear" w:color="auto" w:fill="auto"/>
          </w:tcPr>
          <w:p>
            <w:pPr>
              <w:pStyle w:val="62"/>
              <w:rPr>
                <w:rFonts w:ascii="Times New Roman" w:hAnsi="Times New Roman"/>
                <w:sz w:val="20"/>
                <w:highlight w:val="yellow"/>
              </w:rPr>
            </w:pPr>
            <w:r>
              <w:rPr>
                <w:rFonts w:ascii="Times New Roman" w:hAnsi="Times New Roman"/>
                <w:sz w:val="20"/>
                <w:lang w:val="en-US" w:eastAsia="zh-CN"/>
              </w:rPr>
              <w:t>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eastAsia="宋体"/>
                <w:sz w:val="20"/>
                <w:lang w:eastAsia="zh-CN"/>
              </w:rPr>
            </w:pPr>
            <w:r>
              <w:rPr>
                <w:rFonts w:ascii="Times New Roman" w:hAnsi="Times New Roman" w:eastAsia="宋体"/>
                <w:sz w:val="20"/>
                <w:lang w:val="en-US" w:eastAsia="zh-CN"/>
              </w:rPr>
              <w:t>5</w:t>
            </w:r>
          </w:p>
        </w:tc>
        <w:tc>
          <w:tcPr>
            <w:tcW w:w="3621" w:type="dxa"/>
            <w:shd w:val="clear" w:color="auto" w:fill="auto"/>
          </w:tcPr>
          <w:p>
            <w:pPr>
              <w:pStyle w:val="62"/>
              <w:rPr>
                <w:rFonts w:ascii="Times New Roman" w:hAnsi="Times New Roman"/>
                <w:sz w:val="20"/>
                <w:highlight w:val="yellow"/>
              </w:rPr>
            </w:pPr>
            <w:r>
              <w:rPr>
                <w:rFonts w:ascii="Times New Roman" w:hAnsi="Times New Roman"/>
                <w:sz w:val="20"/>
              </w:rPr>
              <w:t>2</w:t>
            </w:r>
          </w:p>
        </w:tc>
        <w:tc>
          <w:tcPr>
            <w:tcW w:w="1239" w:type="dxa"/>
            <w:shd w:val="clear" w:color="auto" w:fill="auto"/>
          </w:tcPr>
          <w:p>
            <w:pPr>
              <w:pStyle w:val="62"/>
              <w:rPr>
                <w:rFonts w:ascii="Times New Roman" w:hAnsi="Times New Roman"/>
                <w:sz w:val="20"/>
                <w:highlight w:val="yellow"/>
              </w:rPr>
            </w:pPr>
            <w:r>
              <w:rPr>
                <w:rFonts w:ascii="Times New Roman" w:hAnsi="Times New Roman"/>
                <w:sz w:val="20"/>
                <w:lang w:val="en-US" w:eastAsia="zh-CN"/>
              </w:rPr>
              <w:t>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eastAsia="宋体"/>
                <w:sz w:val="20"/>
                <w:lang w:eastAsia="zh-CN"/>
              </w:rPr>
            </w:pPr>
            <w:r>
              <w:rPr>
                <w:rFonts w:ascii="Times New Roman" w:hAnsi="Times New Roman" w:eastAsia="宋体"/>
                <w:sz w:val="20"/>
                <w:lang w:val="en-US" w:eastAsia="zh-CN"/>
              </w:rPr>
              <w:t>6</w:t>
            </w:r>
          </w:p>
        </w:tc>
        <w:tc>
          <w:tcPr>
            <w:tcW w:w="3621" w:type="dxa"/>
            <w:shd w:val="clear" w:color="auto" w:fill="auto"/>
          </w:tcPr>
          <w:p>
            <w:pPr>
              <w:pStyle w:val="62"/>
              <w:rPr>
                <w:rFonts w:ascii="Times New Roman" w:hAnsi="Times New Roman"/>
                <w:sz w:val="20"/>
              </w:rPr>
            </w:pPr>
            <w:r>
              <w:rPr>
                <w:rFonts w:ascii="Times New Roman" w:hAnsi="Times New Roman"/>
                <w:sz w:val="20"/>
              </w:rPr>
              <w:t>3</w:t>
            </w:r>
          </w:p>
        </w:tc>
        <w:tc>
          <w:tcPr>
            <w:tcW w:w="1239" w:type="dxa"/>
            <w:shd w:val="clear" w:color="auto" w:fill="auto"/>
          </w:tcPr>
          <w:p>
            <w:pPr>
              <w:pStyle w:val="62"/>
              <w:rPr>
                <w:rFonts w:ascii="Times New Roman" w:hAnsi="Times New Roman"/>
                <w:sz w:val="20"/>
              </w:rPr>
            </w:pPr>
            <w:r>
              <w:rPr>
                <w:rFonts w:ascii="Times New Roman" w:hAnsi="Times New Roman"/>
                <w:sz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eastAsia="宋体"/>
                <w:sz w:val="20"/>
                <w:lang w:eastAsia="zh-CN"/>
              </w:rPr>
            </w:pPr>
            <w:r>
              <w:rPr>
                <w:rFonts w:ascii="Times New Roman" w:hAnsi="Times New Roman" w:eastAsia="宋体"/>
                <w:sz w:val="20"/>
                <w:lang w:val="en-US" w:eastAsia="zh-CN"/>
              </w:rPr>
              <w:t>7</w:t>
            </w:r>
          </w:p>
        </w:tc>
        <w:tc>
          <w:tcPr>
            <w:tcW w:w="3621" w:type="dxa"/>
            <w:shd w:val="clear" w:color="auto" w:fill="auto"/>
          </w:tcPr>
          <w:p>
            <w:pPr>
              <w:pStyle w:val="62"/>
              <w:rPr>
                <w:rFonts w:ascii="Times New Roman" w:hAnsi="Times New Roman"/>
                <w:sz w:val="20"/>
              </w:rPr>
            </w:pPr>
            <w:r>
              <w:rPr>
                <w:rFonts w:ascii="Times New Roman" w:hAnsi="Times New Roman"/>
                <w:sz w:val="20"/>
              </w:rPr>
              <w:t>3</w:t>
            </w:r>
          </w:p>
        </w:tc>
        <w:tc>
          <w:tcPr>
            <w:tcW w:w="1239" w:type="dxa"/>
            <w:shd w:val="clear" w:color="auto" w:fill="auto"/>
          </w:tcPr>
          <w:p>
            <w:pPr>
              <w:pStyle w:val="62"/>
              <w:rPr>
                <w:rFonts w:ascii="Times New Roman" w:hAnsi="Times New Roman"/>
                <w:sz w:val="20"/>
              </w:rPr>
            </w:pPr>
            <w:r>
              <w:rPr>
                <w:rFonts w:ascii="Times New Roman" w:hAnsi="Times New Roman"/>
                <w:sz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eastAsia="宋体"/>
                <w:sz w:val="20"/>
                <w:lang w:eastAsia="zh-CN"/>
              </w:rPr>
            </w:pPr>
            <w:r>
              <w:rPr>
                <w:rFonts w:ascii="Times New Roman" w:hAnsi="Times New Roman" w:eastAsia="宋体"/>
                <w:sz w:val="20"/>
                <w:lang w:val="en-US" w:eastAsia="zh-CN"/>
              </w:rPr>
              <w:t>8</w:t>
            </w:r>
          </w:p>
        </w:tc>
        <w:tc>
          <w:tcPr>
            <w:tcW w:w="3621" w:type="dxa"/>
            <w:shd w:val="clear" w:color="auto" w:fill="auto"/>
          </w:tcPr>
          <w:p>
            <w:pPr>
              <w:pStyle w:val="62"/>
              <w:rPr>
                <w:rFonts w:ascii="Times New Roman" w:hAnsi="Times New Roman"/>
                <w:sz w:val="20"/>
              </w:rPr>
            </w:pPr>
            <w:r>
              <w:rPr>
                <w:rFonts w:ascii="Times New Roman" w:hAnsi="Times New Roman"/>
                <w:sz w:val="20"/>
              </w:rPr>
              <w:t>3</w:t>
            </w:r>
          </w:p>
        </w:tc>
        <w:tc>
          <w:tcPr>
            <w:tcW w:w="1239" w:type="dxa"/>
            <w:shd w:val="clear" w:color="auto" w:fill="auto"/>
          </w:tcPr>
          <w:p>
            <w:pPr>
              <w:pStyle w:val="62"/>
              <w:rPr>
                <w:rFonts w:ascii="Times New Roman" w:hAnsi="Times New Roman"/>
                <w:sz w:val="20"/>
              </w:rPr>
            </w:pPr>
            <w:r>
              <w:rPr>
                <w:rFonts w:ascii="Times New Roman" w:hAnsi="Times New Roman"/>
                <w:sz w:val="20"/>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eastAsia="宋体"/>
                <w:sz w:val="20"/>
                <w:lang w:val="en-US" w:eastAsia="zh-CN"/>
              </w:rPr>
            </w:pPr>
            <w:r>
              <w:rPr>
                <w:rFonts w:ascii="Times New Roman" w:hAnsi="Times New Roman" w:eastAsia="宋体"/>
                <w:sz w:val="20"/>
                <w:lang w:val="en-US" w:eastAsia="zh-CN"/>
              </w:rPr>
              <w:t>9</w:t>
            </w:r>
          </w:p>
        </w:tc>
        <w:tc>
          <w:tcPr>
            <w:tcW w:w="3621" w:type="dxa"/>
            <w:shd w:val="clear" w:color="auto" w:fill="auto"/>
          </w:tcPr>
          <w:p>
            <w:pPr>
              <w:pStyle w:val="62"/>
              <w:rPr>
                <w:rFonts w:ascii="Times New Roman" w:hAnsi="Times New Roman"/>
                <w:sz w:val="20"/>
                <w:highlight w:val="yellow"/>
              </w:rPr>
            </w:pPr>
            <w:r>
              <w:rPr>
                <w:rFonts w:ascii="Times New Roman" w:hAnsi="Times New Roman"/>
                <w:sz w:val="20"/>
              </w:rPr>
              <w:t>3</w:t>
            </w:r>
          </w:p>
        </w:tc>
        <w:tc>
          <w:tcPr>
            <w:tcW w:w="1239" w:type="dxa"/>
            <w:shd w:val="clear" w:color="auto" w:fill="auto"/>
          </w:tcPr>
          <w:p>
            <w:pPr>
              <w:pStyle w:val="62"/>
              <w:rPr>
                <w:rFonts w:ascii="Times New Roman" w:hAnsi="Times New Roman"/>
                <w:sz w:val="20"/>
                <w:highlight w:val="yellow"/>
              </w:rPr>
            </w:pPr>
            <w:r>
              <w:rPr>
                <w:rFonts w:ascii="Times New Roman" w:hAnsi="Times New Roman"/>
                <w:sz w:val="20"/>
                <w:lang w:val="en-US" w:eastAsia="zh-CN"/>
              </w:rPr>
              <w:t>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eastAsia="宋体"/>
                <w:sz w:val="20"/>
                <w:lang w:val="en-US" w:eastAsia="zh-CN"/>
              </w:rPr>
            </w:pPr>
            <w:r>
              <w:rPr>
                <w:rFonts w:ascii="Times New Roman" w:hAnsi="Times New Roman" w:eastAsia="宋体"/>
                <w:sz w:val="20"/>
                <w:lang w:val="en-US" w:eastAsia="zh-CN"/>
              </w:rPr>
              <w:t>10</w:t>
            </w:r>
          </w:p>
        </w:tc>
        <w:tc>
          <w:tcPr>
            <w:tcW w:w="3621" w:type="dxa"/>
            <w:shd w:val="clear" w:color="auto" w:fill="auto"/>
          </w:tcPr>
          <w:p>
            <w:pPr>
              <w:pStyle w:val="62"/>
              <w:rPr>
                <w:rFonts w:ascii="Times New Roman" w:hAnsi="Times New Roman"/>
                <w:sz w:val="20"/>
                <w:highlight w:val="yellow"/>
              </w:rPr>
            </w:pPr>
            <w:r>
              <w:rPr>
                <w:rFonts w:ascii="Times New Roman" w:hAnsi="Times New Roman"/>
                <w:sz w:val="20"/>
              </w:rPr>
              <w:t>3</w:t>
            </w:r>
          </w:p>
        </w:tc>
        <w:tc>
          <w:tcPr>
            <w:tcW w:w="1239" w:type="dxa"/>
            <w:shd w:val="clear" w:color="auto" w:fill="auto"/>
          </w:tcPr>
          <w:p>
            <w:pPr>
              <w:pStyle w:val="62"/>
              <w:rPr>
                <w:rFonts w:ascii="Times New Roman" w:hAnsi="Times New Roman"/>
                <w:sz w:val="20"/>
                <w:highlight w:val="yellow"/>
              </w:rPr>
            </w:pPr>
            <w:r>
              <w:rPr>
                <w:rFonts w:ascii="Times New Roman" w:hAnsi="Times New Roman"/>
                <w:sz w:val="20"/>
                <w:lang w:val="en-US" w:eastAsia="zh-CN"/>
              </w:rPr>
              <w:t>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eastAsia="宋体"/>
                <w:sz w:val="20"/>
                <w:lang w:val="en-US" w:eastAsia="zh-CN"/>
              </w:rPr>
            </w:pPr>
            <w:r>
              <w:rPr>
                <w:rFonts w:ascii="Times New Roman" w:hAnsi="Times New Roman" w:eastAsia="宋体"/>
                <w:sz w:val="20"/>
                <w:lang w:val="en-US" w:eastAsia="zh-CN"/>
              </w:rPr>
              <w:t>11</w:t>
            </w:r>
          </w:p>
        </w:tc>
        <w:tc>
          <w:tcPr>
            <w:tcW w:w="3621" w:type="dxa"/>
            <w:shd w:val="clear" w:color="auto" w:fill="auto"/>
          </w:tcPr>
          <w:p>
            <w:pPr>
              <w:pStyle w:val="62"/>
              <w:rPr>
                <w:rFonts w:ascii="Times New Roman" w:hAnsi="Times New Roman"/>
                <w:sz w:val="20"/>
                <w:highlight w:val="yellow"/>
              </w:rPr>
            </w:pPr>
            <w:r>
              <w:rPr>
                <w:rFonts w:ascii="Times New Roman" w:hAnsi="Times New Roman"/>
                <w:sz w:val="20"/>
              </w:rPr>
              <w:t>3</w:t>
            </w:r>
          </w:p>
        </w:tc>
        <w:tc>
          <w:tcPr>
            <w:tcW w:w="1239" w:type="dxa"/>
            <w:shd w:val="clear" w:color="auto" w:fill="auto"/>
          </w:tcPr>
          <w:p>
            <w:pPr>
              <w:pStyle w:val="62"/>
              <w:rPr>
                <w:rFonts w:ascii="Times New Roman" w:hAnsi="Times New Roman"/>
                <w:sz w:val="20"/>
                <w:highlight w:val="yellow"/>
              </w:rPr>
            </w:pPr>
            <w:r>
              <w:rPr>
                <w:rFonts w:ascii="Times New Roman" w:hAnsi="Times New Roman"/>
                <w:sz w:val="20"/>
                <w:lang w:val="en-US" w:eastAsia="zh-CN"/>
              </w:rPr>
              <w:t>16,17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61" w:type="dxa"/>
            <w:shd w:val="clear" w:color="auto" w:fill="auto"/>
          </w:tcPr>
          <w:p>
            <w:pPr>
              <w:pStyle w:val="62"/>
              <w:rPr>
                <w:rFonts w:ascii="Times New Roman" w:hAnsi="Times New Roman" w:eastAsia="宋体"/>
                <w:sz w:val="20"/>
                <w:lang w:val="en-US" w:eastAsia="zh-CN"/>
              </w:rPr>
            </w:pPr>
            <w:r>
              <w:rPr>
                <w:rFonts w:hint="eastAsia" w:ascii="Times New Roman" w:hAnsi="Times New Roman" w:eastAsia="宋体"/>
                <w:sz w:val="20"/>
                <w:lang w:val="en-US" w:eastAsia="zh-CN"/>
              </w:rPr>
              <w:t>12-15</w:t>
            </w:r>
          </w:p>
        </w:tc>
        <w:tc>
          <w:tcPr>
            <w:tcW w:w="3621" w:type="dxa"/>
            <w:shd w:val="clear" w:color="auto" w:fill="auto"/>
          </w:tcPr>
          <w:p>
            <w:pPr>
              <w:pStyle w:val="62"/>
              <w:rPr>
                <w:rFonts w:ascii="Times New Roman" w:hAnsi="Times New Roman"/>
                <w:sz w:val="20"/>
              </w:rPr>
            </w:pPr>
            <w:r>
              <w:rPr>
                <w:rFonts w:ascii="Times New Roman" w:hAnsi="Times New Roman" w:eastAsia="宋体"/>
                <w:sz w:val="20"/>
                <w:lang w:val="en-US" w:eastAsia="zh-CN"/>
              </w:rPr>
              <w:t>Reserved</w:t>
            </w:r>
          </w:p>
        </w:tc>
        <w:tc>
          <w:tcPr>
            <w:tcW w:w="0" w:type="auto"/>
            <w:shd w:val="clear" w:color="auto" w:fill="auto"/>
          </w:tcPr>
          <w:p>
            <w:pPr>
              <w:pStyle w:val="62"/>
              <w:rPr>
                <w:rFonts w:ascii="Times New Roman" w:hAnsi="Times New Roman" w:eastAsia="宋体"/>
                <w:sz w:val="20"/>
                <w:lang w:val="en-US" w:eastAsia="zh-CN"/>
              </w:rPr>
            </w:pPr>
            <w:r>
              <w:rPr>
                <w:rFonts w:ascii="Times New Roman" w:hAnsi="Times New Roman" w:eastAsia="宋体"/>
                <w:sz w:val="20"/>
                <w:lang w:val="en-US" w:eastAsia="zh-CN"/>
              </w:rPr>
              <w:t>Reserved</w:t>
            </w:r>
          </w:p>
        </w:tc>
      </w:tr>
    </w:tbl>
    <w:p>
      <w:pPr>
        <w:snapToGrid w:val="0"/>
        <w:spacing w:before="180" w:beforeLines="50" w:after="180" w:afterLines="50" w:line="288" w:lineRule="auto"/>
        <w:jc w:val="both"/>
        <w:rPr>
          <w:rFonts w:ascii="Times New Roman" w:hAnsi="Times New Roman"/>
          <w:b/>
          <w:i/>
          <w:sz w:val="20"/>
          <w:szCs w:val="20"/>
        </w:rPr>
      </w:pPr>
      <w:r>
        <w:rPr>
          <w:rFonts w:hint="eastAsia" w:ascii="Times New Roman" w:hAnsi="Times New Roman"/>
          <w:sz w:val="20"/>
          <w:szCs w:val="20"/>
        </w:rPr>
        <w:t>From our view, if separate tables are used (Alt 2), it should be indicated additionally which table is used. One simple method is to introduce one field with 1 bit in the DCI to indicate whether Rel-15 or Rel-18 table is used, i.e., the DMRS ports are generated with length 2 FD-OCC or length 4 FD-OCC. In this case, the DCI overhead is pretty much the similar between the two alternatives. To avoid redundant DCI signaling/overhead, we tend to support to the enlarge DMRS table to indicate the DMRS ports for both legacy and Rel-18 DMRS ports (Alt 1), where the different values of the table can be used to indicate whether the DMRS ports are legacy DMRS or Rel-18 DMRS. More precisely, as shown in Table 1, the former values are used to indicate the Rel-15 DMRS ports and the last values are used to indicate the Rel-18 DMRS ports.</w:t>
      </w:r>
    </w:p>
    <w:p>
      <w:pPr>
        <w:snapToGrid w:val="0"/>
        <w:spacing w:before="10" w:after="10" w:line="288" w:lineRule="auto"/>
        <w:jc w:val="both"/>
        <w:rPr>
          <w:rFonts w:ascii="Times New Roman" w:hAnsi="Times New Roman"/>
          <w:i/>
          <w:sz w:val="20"/>
          <w:szCs w:val="20"/>
        </w:rPr>
      </w:pPr>
      <w:bookmarkStart w:id="16" w:name="OLE_LINK17"/>
      <w:r>
        <w:rPr>
          <w:rFonts w:hint="eastAsia" w:ascii="Times New Roman" w:hAnsi="Times New Roman"/>
          <w:b/>
          <w:i/>
          <w:sz w:val="20"/>
          <w:szCs w:val="20"/>
        </w:rPr>
        <w:t>Proposal 3</w:t>
      </w:r>
      <w:r>
        <w:rPr>
          <w:rFonts w:ascii="Times New Roman" w:hAnsi="Times New Roman"/>
          <w:b/>
          <w:i/>
          <w:sz w:val="20"/>
          <w:szCs w:val="20"/>
        </w:rPr>
        <w:t xml:space="preserve">: </w:t>
      </w:r>
      <w:r>
        <w:rPr>
          <w:rFonts w:hint="eastAsia" w:ascii="Times New Roman" w:hAnsi="Times New Roman"/>
          <w:i/>
          <w:sz w:val="20"/>
          <w:szCs w:val="20"/>
        </w:rPr>
        <w:t>Dynamic indication of legacy DMRS ports and Rel-18 DMRS ports is supported, where different values in one DMRS indication table is used to indicate the DMRS ports are the legacy DMRS ports or Rel-18 DMRS ports.</w:t>
      </w:r>
    </w:p>
    <w:p>
      <w:pPr>
        <w:pStyle w:val="3"/>
        <w:numPr>
          <w:ilvl w:val="1"/>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FD-OCC design</w:t>
      </w:r>
    </w:p>
    <w:p>
      <w:r>
        <w:rPr>
          <w:rFonts w:hint="eastAsia" w:ascii="Times New Roman" w:hAnsi="Times New Roman"/>
          <w:sz w:val="20"/>
          <w:szCs w:val="20"/>
        </w:rPr>
        <w:t>In RAN1#110bis-e meeting, the design of FD-OCC of length 4 is agreed as follows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lang w:eastAsia="ja-JP"/>
              </w:rPr>
            </w:pPr>
            <w:r>
              <w:rPr>
                <w:rFonts w:ascii="Times New Roman" w:hAnsi="Times New Roman"/>
                <w:b/>
                <w:color w:val="000000"/>
                <w:sz w:val="20"/>
                <w:szCs w:val="20"/>
                <w:u w:val="single"/>
                <w:lang w:eastAsia="ja-JP"/>
              </w:rPr>
              <w:t>Agreement</w:t>
            </w:r>
          </w:p>
          <w:p>
            <w:pPr>
              <w:shd w:val="clear" w:color="auto" w:fill="FFFFFF"/>
              <w:rPr>
                <w:rFonts w:ascii="Times New Roman" w:hAnsi="Times New Roman" w:eastAsia="Malgun Gothic"/>
                <w:sz w:val="20"/>
                <w:szCs w:val="20"/>
                <w:lang w:eastAsia="ja-JP"/>
              </w:rPr>
            </w:pPr>
            <w:r>
              <w:rPr>
                <w:rFonts w:ascii="Times New Roman" w:hAnsi="Times New Roman" w:eastAsia="Malgun Gothic"/>
                <w:sz w:val="20"/>
                <w:szCs w:val="20"/>
                <w:lang w:eastAsia="ja-JP"/>
              </w:rPr>
              <w:t>For FD-OCC length 4 for DMRS of PDSCH/PUSCH for Rel.18 eType 1/eType 2 DMRS, support one from the following FD-OCCs (to be selected in RAN1#111): </w:t>
            </w:r>
          </w:p>
          <w:p>
            <w:pPr>
              <w:numPr>
                <w:ilvl w:val="0"/>
                <w:numId w:val="7"/>
              </w:numPr>
              <w:shd w:val="clear" w:color="auto" w:fill="FFFFFF"/>
              <w:spacing w:after="0" w:line="288" w:lineRule="auto"/>
              <w:ind w:left="726" w:hanging="363"/>
              <w:rPr>
                <w:rStyle w:val="119"/>
                <w:rFonts w:ascii="Times New Roman" w:hAnsi="Times New Roman" w:eastAsia="Times New Roman"/>
                <w:bCs/>
                <w:color w:val="242424"/>
                <w:sz w:val="20"/>
                <w:szCs w:val="20"/>
              </w:rPr>
            </w:pPr>
            <w:r>
              <w:rPr>
                <w:rStyle w:val="119"/>
                <w:rFonts w:ascii="Times New Roman" w:hAnsi="Times New Roman" w:eastAsia="Times New Roman"/>
                <w:bCs/>
                <w:color w:val="242424"/>
                <w:sz w:val="20"/>
                <w:szCs w:val="20"/>
              </w:rPr>
              <w:t>Opt.1-1: Walsh matrix (Hadamard code): </w:t>
            </w:r>
          </w:p>
          <w:tbl>
            <w:tblPr>
              <w:tblStyle w:val="27"/>
              <w:tblW w:w="4771" w:type="dxa"/>
              <w:jc w:val="center"/>
              <w:tblLayout w:type="autofit"/>
              <w:tblCellMar>
                <w:top w:w="0" w:type="dxa"/>
                <w:left w:w="0" w:type="dxa"/>
                <w:bottom w:w="0" w:type="dxa"/>
                <w:right w:w="0" w:type="dxa"/>
              </w:tblCellMar>
            </w:tblPr>
            <w:tblGrid>
              <w:gridCol w:w="1299"/>
              <w:gridCol w:w="868"/>
              <w:gridCol w:w="868"/>
              <w:gridCol w:w="868"/>
              <w:gridCol w:w="868"/>
            </w:tblGrid>
            <w:tr>
              <w:tblPrEx>
                <w:tblCellMar>
                  <w:top w:w="0" w:type="dxa"/>
                  <w:left w:w="0" w:type="dxa"/>
                  <w:bottom w:w="0" w:type="dxa"/>
                  <w:right w:w="0" w:type="dxa"/>
                </w:tblCellMar>
              </w:tblPrEx>
              <w:trPr>
                <w:jc w:val="center"/>
              </w:trPr>
              <w:tc>
                <w:tcPr>
                  <w:tcW w:w="12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b/>
                      <w:bCs/>
                      <w:color w:val="000000"/>
                      <w:sz w:val="20"/>
                      <w:szCs w:val="20"/>
                    </w:rPr>
                    <w:t>FD-OCC index</w:t>
                  </w:r>
                  <w:r>
                    <w:rPr>
                      <w:rStyle w:val="120"/>
                      <w:rFonts w:ascii="Times" w:hAnsi="Times" w:cs="Times"/>
                      <w:color w:val="000000"/>
                      <w:sz w:val="20"/>
                      <w:szCs w:val="20"/>
                    </w:rPr>
                    <w:t> </w:t>
                  </w:r>
                </w:p>
              </w:tc>
              <w:tc>
                <w:tcPr>
                  <w:tcW w:w="868"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b/>
                      <w:bCs/>
                      <w:color w:val="000000"/>
                      <w:sz w:val="20"/>
                      <w:szCs w:val="20"/>
                    </w:rPr>
                    <w:t>w</w:t>
                  </w:r>
                  <w:r>
                    <w:rPr>
                      <w:rStyle w:val="120"/>
                      <w:rFonts w:ascii="Times" w:hAnsi="Times" w:cs="Times"/>
                      <w:b/>
                      <w:bCs/>
                      <w:color w:val="000000"/>
                      <w:sz w:val="20"/>
                      <w:szCs w:val="20"/>
                      <w:vertAlign w:val="subscript"/>
                    </w:rPr>
                    <w:t>f</w:t>
                  </w:r>
                  <w:r>
                    <w:rPr>
                      <w:rStyle w:val="120"/>
                      <w:rFonts w:ascii="Times" w:hAnsi="Times" w:cs="Times"/>
                      <w:b/>
                      <w:bCs/>
                      <w:color w:val="000000"/>
                      <w:sz w:val="20"/>
                      <w:szCs w:val="20"/>
                    </w:rPr>
                    <w:t>(0)</w:t>
                  </w:r>
                  <w:r>
                    <w:rPr>
                      <w:rStyle w:val="120"/>
                      <w:rFonts w:ascii="Times" w:hAnsi="Times" w:cs="Times"/>
                      <w:color w:val="000000"/>
                      <w:sz w:val="20"/>
                      <w:szCs w:val="20"/>
                    </w:rPr>
                    <w:t> </w:t>
                  </w:r>
                </w:p>
              </w:tc>
              <w:tc>
                <w:tcPr>
                  <w:tcW w:w="868"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b/>
                      <w:bCs/>
                      <w:color w:val="000000"/>
                      <w:sz w:val="20"/>
                      <w:szCs w:val="20"/>
                    </w:rPr>
                    <w:t>w</w:t>
                  </w:r>
                  <w:r>
                    <w:rPr>
                      <w:rStyle w:val="120"/>
                      <w:rFonts w:ascii="Times" w:hAnsi="Times" w:cs="Times"/>
                      <w:b/>
                      <w:bCs/>
                      <w:color w:val="000000"/>
                      <w:sz w:val="20"/>
                      <w:szCs w:val="20"/>
                      <w:vertAlign w:val="subscript"/>
                    </w:rPr>
                    <w:t>f</w:t>
                  </w:r>
                  <w:r>
                    <w:rPr>
                      <w:rStyle w:val="120"/>
                      <w:rFonts w:ascii="Times" w:hAnsi="Times" w:cs="Times"/>
                      <w:b/>
                      <w:bCs/>
                      <w:color w:val="000000"/>
                      <w:sz w:val="20"/>
                      <w:szCs w:val="20"/>
                    </w:rPr>
                    <w:t>(1)</w:t>
                  </w:r>
                  <w:r>
                    <w:rPr>
                      <w:rStyle w:val="120"/>
                      <w:rFonts w:ascii="Times" w:hAnsi="Times" w:cs="Times"/>
                      <w:color w:val="000000"/>
                      <w:sz w:val="20"/>
                      <w:szCs w:val="20"/>
                    </w:rPr>
                    <w:t> </w:t>
                  </w:r>
                </w:p>
              </w:tc>
              <w:tc>
                <w:tcPr>
                  <w:tcW w:w="868"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b/>
                      <w:bCs/>
                      <w:color w:val="000000"/>
                      <w:sz w:val="20"/>
                      <w:szCs w:val="20"/>
                    </w:rPr>
                    <w:t>w</w:t>
                  </w:r>
                  <w:r>
                    <w:rPr>
                      <w:rStyle w:val="120"/>
                      <w:rFonts w:ascii="Times" w:hAnsi="Times" w:cs="Times"/>
                      <w:b/>
                      <w:bCs/>
                      <w:color w:val="000000"/>
                      <w:sz w:val="20"/>
                      <w:szCs w:val="20"/>
                      <w:vertAlign w:val="subscript"/>
                    </w:rPr>
                    <w:t>f</w:t>
                  </w:r>
                  <w:r>
                    <w:rPr>
                      <w:rStyle w:val="120"/>
                      <w:rFonts w:ascii="Times" w:hAnsi="Times" w:cs="Times"/>
                      <w:b/>
                      <w:bCs/>
                      <w:color w:val="000000"/>
                      <w:sz w:val="20"/>
                      <w:szCs w:val="20"/>
                    </w:rPr>
                    <w:t>(2)</w:t>
                  </w:r>
                  <w:r>
                    <w:rPr>
                      <w:rStyle w:val="120"/>
                      <w:rFonts w:ascii="Times" w:hAnsi="Times" w:cs="Times"/>
                      <w:color w:val="000000"/>
                      <w:sz w:val="20"/>
                      <w:szCs w:val="20"/>
                    </w:rPr>
                    <w:t> </w:t>
                  </w:r>
                </w:p>
              </w:tc>
              <w:tc>
                <w:tcPr>
                  <w:tcW w:w="868"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b/>
                      <w:bCs/>
                      <w:color w:val="000000"/>
                      <w:sz w:val="20"/>
                      <w:szCs w:val="20"/>
                    </w:rPr>
                    <w:t>w</w:t>
                  </w:r>
                  <w:r>
                    <w:rPr>
                      <w:rStyle w:val="120"/>
                      <w:rFonts w:ascii="Times" w:hAnsi="Times" w:cs="Times"/>
                      <w:b/>
                      <w:bCs/>
                      <w:color w:val="000000"/>
                      <w:sz w:val="20"/>
                      <w:szCs w:val="20"/>
                      <w:vertAlign w:val="subscript"/>
                    </w:rPr>
                    <w:t>f</w:t>
                  </w:r>
                  <w:r>
                    <w:rPr>
                      <w:rStyle w:val="120"/>
                      <w:rFonts w:ascii="Times" w:hAnsi="Times" w:cs="Times"/>
                      <w:b/>
                      <w:bCs/>
                      <w:color w:val="000000"/>
                      <w:sz w:val="20"/>
                      <w:szCs w:val="20"/>
                    </w:rPr>
                    <w:t>(3)</w:t>
                  </w:r>
                  <w:r>
                    <w:rPr>
                      <w:rStyle w:val="120"/>
                      <w:rFonts w:ascii="Times" w:hAnsi="Times" w:cs="Times"/>
                      <w:color w:val="000000"/>
                      <w:sz w:val="20"/>
                      <w:szCs w:val="20"/>
                    </w:rPr>
                    <w:t> </w:t>
                  </w:r>
                </w:p>
              </w:tc>
            </w:tr>
            <w:tr>
              <w:tblPrEx>
                <w:tblCellMar>
                  <w:top w:w="0" w:type="dxa"/>
                  <w:left w:w="0" w:type="dxa"/>
                  <w:bottom w:w="0" w:type="dxa"/>
                  <w:right w:w="0" w:type="dxa"/>
                </w:tblCellMar>
              </w:tblPrEx>
              <w:trPr>
                <w:jc w:val="center"/>
              </w:trPr>
              <w:tc>
                <w:tcPr>
                  <w:tcW w:w="129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0 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r>
            <w:tr>
              <w:tblPrEx>
                <w:tblCellMar>
                  <w:top w:w="0" w:type="dxa"/>
                  <w:left w:w="0" w:type="dxa"/>
                  <w:bottom w:w="0" w:type="dxa"/>
                  <w:right w:w="0" w:type="dxa"/>
                </w:tblCellMar>
              </w:tblPrEx>
              <w:trPr>
                <w:jc w:val="center"/>
              </w:trPr>
              <w:tc>
                <w:tcPr>
                  <w:tcW w:w="129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r>
            <w:tr>
              <w:tblPrEx>
                <w:tblCellMar>
                  <w:top w:w="0" w:type="dxa"/>
                  <w:left w:w="0" w:type="dxa"/>
                  <w:bottom w:w="0" w:type="dxa"/>
                  <w:right w:w="0" w:type="dxa"/>
                </w:tblCellMar>
              </w:tblPrEx>
              <w:trPr>
                <w:jc w:val="center"/>
              </w:trPr>
              <w:tc>
                <w:tcPr>
                  <w:tcW w:w="129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2 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r>
            <w:tr>
              <w:tblPrEx>
                <w:tblCellMar>
                  <w:top w:w="0" w:type="dxa"/>
                  <w:left w:w="0" w:type="dxa"/>
                  <w:bottom w:w="0" w:type="dxa"/>
                  <w:right w:w="0" w:type="dxa"/>
                </w:tblCellMar>
              </w:tblPrEx>
              <w:trPr>
                <w:jc w:val="center"/>
              </w:trPr>
              <w:tc>
                <w:tcPr>
                  <w:tcW w:w="129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3 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r>
          </w:tbl>
          <w:p>
            <w:pPr>
              <w:numPr>
                <w:ilvl w:val="0"/>
                <w:numId w:val="7"/>
              </w:numPr>
              <w:shd w:val="clear" w:color="auto" w:fill="FFFFFF"/>
              <w:spacing w:after="0" w:line="288" w:lineRule="auto"/>
              <w:ind w:left="726" w:hanging="363"/>
              <w:rPr>
                <w:rStyle w:val="119"/>
                <w:rFonts w:ascii="Times New Roman" w:hAnsi="Times New Roman" w:eastAsia="Times New Roman"/>
                <w:bCs/>
                <w:color w:val="242424"/>
                <w:sz w:val="20"/>
                <w:szCs w:val="20"/>
              </w:rPr>
            </w:pPr>
            <w:r>
              <w:rPr>
                <w:rStyle w:val="119"/>
                <w:rFonts w:ascii="Times New Roman" w:hAnsi="Times New Roman" w:eastAsia="Times New Roman"/>
                <w:bCs/>
                <w:color w:val="242424"/>
                <w:sz w:val="20"/>
                <w:szCs w:val="20"/>
              </w:rPr>
              <w:t>Opt.1-2: Cyclic shift with {0, π, π/2, 3π/2}: </w:t>
            </w:r>
          </w:p>
          <w:tbl>
            <w:tblPr>
              <w:tblStyle w:val="27"/>
              <w:tblW w:w="4771" w:type="dxa"/>
              <w:jc w:val="center"/>
              <w:tblLayout w:type="autofit"/>
              <w:tblCellMar>
                <w:top w:w="0" w:type="dxa"/>
                <w:left w:w="0" w:type="dxa"/>
                <w:bottom w:w="0" w:type="dxa"/>
                <w:right w:w="0" w:type="dxa"/>
              </w:tblCellMar>
            </w:tblPr>
            <w:tblGrid>
              <w:gridCol w:w="1299"/>
              <w:gridCol w:w="868"/>
              <w:gridCol w:w="868"/>
              <w:gridCol w:w="868"/>
              <w:gridCol w:w="868"/>
            </w:tblGrid>
            <w:tr>
              <w:tblPrEx>
                <w:tblCellMar>
                  <w:top w:w="0" w:type="dxa"/>
                  <w:left w:w="0" w:type="dxa"/>
                  <w:bottom w:w="0" w:type="dxa"/>
                  <w:right w:w="0" w:type="dxa"/>
                </w:tblCellMar>
              </w:tblPrEx>
              <w:trPr>
                <w:jc w:val="center"/>
              </w:trPr>
              <w:tc>
                <w:tcPr>
                  <w:tcW w:w="12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b/>
                      <w:bCs/>
                      <w:color w:val="000000"/>
                      <w:sz w:val="20"/>
                      <w:szCs w:val="20"/>
                    </w:rPr>
                    <w:t>FD-OCC index</w:t>
                  </w:r>
                  <w:r>
                    <w:rPr>
                      <w:rStyle w:val="120"/>
                      <w:rFonts w:ascii="Times" w:hAnsi="Times" w:cs="Times"/>
                      <w:color w:val="000000"/>
                      <w:sz w:val="20"/>
                      <w:szCs w:val="20"/>
                    </w:rPr>
                    <w:t> </w:t>
                  </w:r>
                </w:p>
              </w:tc>
              <w:tc>
                <w:tcPr>
                  <w:tcW w:w="868"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b/>
                      <w:bCs/>
                      <w:color w:val="000000"/>
                      <w:sz w:val="20"/>
                      <w:szCs w:val="20"/>
                    </w:rPr>
                    <w:t>w</w:t>
                  </w:r>
                  <w:r>
                    <w:rPr>
                      <w:rStyle w:val="120"/>
                      <w:rFonts w:ascii="Times" w:hAnsi="Times" w:cs="Times"/>
                      <w:b/>
                      <w:bCs/>
                      <w:color w:val="000000"/>
                      <w:sz w:val="20"/>
                      <w:szCs w:val="20"/>
                      <w:vertAlign w:val="subscript"/>
                    </w:rPr>
                    <w:t>f</w:t>
                  </w:r>
                  <w:r>
                    <w:rPr>
                      <w:rStyle w:val="120"/>
                      <w:rFonts w:ascii="Times" w:hAnsi="Times" w:cs="Times"/>
                      <w:b/>
                      <w:bCs/>
                      <w:color w:val="000000"/>
                      <w:sz w:val="20"/>
                      <w:szCs w:val="20"/>
                    </w:rPr>
                    <w:t>(0)</w:t>
                  </w:r>
                  <w:r>
                    <w:rPr>
                      <w:rStyle w:val="120"/>
                      <w:rFonts w:ascii="Times" w:hAnsi="Times" w:cs="Times"/>
                      <w:color w:val="000000"/>
                      <w:sz w:val="20"/>
                      <w:szCs w:val="20"/>
                    </w:rPr>
                    <w:t> </w:t>
                  </w:r>
                </w:p>
              </w:tc>
              <w:tc>
                <w:tcPr>
                  <w:tcW w:w="868"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b/>
                      <w:bCs/>
                      <w:color w:val="000000"/>
                      <w:sz w:val="20"/>
                      <w:szCs w:val="20"/>
                    </w:rPr>
                    <w:t>w</w:t>
                  </w:r>
                  <w:r>
                    <w:rPr>
                      <w:rStyle w:val="120"/>
                      <w:rFonts w:ascii="Times" w:hAnsi="Times" w:cs="Times"/>
                      <w:b/>
                      <w:bCs/>
                      <w:color w:val="000000"/>
                      <w:sz w:val="20"/>
                      <w:szCs w:val="20"/>
                      <w:vertAlign w:val="subscript"/>
                    </w:rPr>
                    <w:t>f</w:t>
                  </w:r>
                  <w:r>
                    <w:rPr>
                      <w:rStyle w:val="120"/>
                      <w:rFonts w:ascii="Times" w:hAnsi="Times" w:cs="Times"/>
                      <w:b/>
                      <w:bCs/>
                      <w:color w:val="000000"/>
                      <w:sz w:val="20"/>
                      <w:szCs w:val="20"/>
                    </w:rPr>
                    <w:t>(1)</w:t>
                  </w:r>
                  <w:r>
                    <w:rPr>
                      <w:rStyle w:val="120"/>
                      <w:rFonts w:ascii="Times" w:hAnsi="Times" w:cs="Times"/>
                      <w:color w:val="000000"/>
                      <w:sz w:val="20"/>
                      <w:szCs w:val="20"/>
                    </w:rPr>
                    <w:t> </w:t>
                  </w:r>
                </w:p>
              </w:tc>
              <w:tc>
                <w:tcPr>
                  <w:tcW w:w="868"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b/>
                      <w:bCs/>
                      <w:color w:val="000000"/>
                      <w:sz w:val="20"/>
                      <w:szCs w:val="20"/>
                    </w:rPr>
                    <w:t>w</w:t>
                  </w:r>
                  <w:r>
                    <w:rPr>
                      <w:rStyle w:val="120"/>
                      <w:rFonts w:ascii="Times" w:hAnsi="Times" w:cs="Times"/>
                      <w:b/>
                      <w:bCs/>
                      <w:color w:val="000000"/>
                      <w:sz w:val="20"/>
                      <w:szCs w:val="20"/>
                      <w:vertAlign w:val="subscript"/>
                    </w:rPr>
                    <w:t>f</w:t>
                  </w:r>
                  <w:r>
                    <w:rPr>
                      <w:rStyle w:val="120"/>
                      <w:rFonts w:ascii="Times" w:hAnsi="Times" w:cs="Times"/>
                      <w:b/>
                      <w:bCs/>
                      <w:color w:val="000000"/>
                      <w:sz w:val="20"/>
                      <w:szCs w:val="20"/>
                    </w:rPr>
                    <w:t>(2)</w:t>
                  </w:r>
                  <w:r>
                    <w:rPr>
                      <w:rStyle w:val="120"/>
                      <w:rFonts w:ascii="Times" w:hAnsi="Times" w:cs="Times"/>
                      <w:color w:val="000000"/>
                      <w:sz w:val="20"/>
                      <w:szCs w:val="20"/>
                    </w:rPr>
                    <w:t> </w:t>
                  </w:r>
                </w:p>
              </w:tc>
              <w:tc>
                <w:tcPr>
                  <w:tcW w:w="868"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b/>
                      <w:bCs/>
                      <w:color w:val="000000"/>
                      <w:sz w:val="20"/>
                      <w:szCs w:val="20"/>
                    </w:rPr>
                    <w:t>w</w:t>
                  </w:r>
                  <w:r>
                    <w:rPr>
                      <w:rStyle w:val="120"/>
                      <w:rFonts w:ascii="Times" w:hAnsi="Times" w:cs="Times"/>
                      <w:b/>
                      <w:bCs/>
                      <w:color w:val="000000"/>
                      <w:sz w:val="20"/>
                      <w:szCs w:val="20"/>
                      <w:vertAlign w:val="subscript"/>
                    </w:rPr>
                    <w:t>f</w:t>
                  </w:r>
                  <w:r>
                    <w:rPr>
                      <w:rStyle w:val="120"/>
                      <w:rFonts w:ascii="Times" w:hAnsi="Times" w:cs="Times"/>
                      <w:b/>
                      <w:bCs/>
                      <w:color w:val="000000"/>
                      <w:sz w:val="20"/>
                      <w:szCs w:val="20"/>
                    </w:rPr>
                    <w:t>(3)</w:t>
                  </w:r>
                  <w:r>
                    <w:rPr>
                      <w:rStyle w:val="120"/>
                      <w:rFonts w:ascii="Times" w:hAnsi="Times" w:cs="Times"/>
                      <w:color w:val="000000"/>
                      <w:sz w:val="20"/>
                      <w:szCs w:val="20"/>
                    </w:rPr>
                    <w:t> </w:t>
                  </w:r>
                </w:p>
              </w:tc>
            </w:tr>
            <w:tr>
              <w:tblPrEx>
                <w:tblCellMar>
                  <w:top w:w="0" w:type="dxa"/>
                  <w:left w:w="0" w:type="dxa"/>
                  <w:bottom w:w="0" w:type="dxa"/>
                  <w:right w:w="0" w:type="dxa"/>
                </w:tblCellMar>
              </w:tblPrEx>
              <w:trPr>
                <w:jc w:val="center"/>
              </w:trPr>
              <w:tc>
                <w:tcPr>
                  <w:tcW w:w="129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0 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r>
            <w:tr>
              <w:tblPrEx>
                <w:tblCellMar>
                  <w:top w:w="0" w:type="dxa"/>
                  <w:left w:w="0" w:type="dxa"/>
                  <w:bottom w:w="0" w:type="dxa"/>
                  <w:right w:w="0" w:type="dxa"/>
                </w:tblCellMar>
              </w:tblPrEx>
              <w:trPr>
                <w:jc w:val="center"/>
              </w:trPr>
              <w:tc>
                <w:tcPr>
                  <w:tcW w:w="129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r>
            <w:tr>
              <w:tblPrEx>
                <w:tblCellMar>
                  <w:top w:w="0" w:type="dxa"/>
                  <w:left w:w="0" w:type="dxa"/>
                  <w:bottom w:w="0" w:type="dxa"/>
                  <w:right w:w="0" w:type="dxa"/>
                </w:tblCellMar>
              </w:tblPrEx>
              <w:trPr>
                <w:jc w:val="center"/>
              </w:trPr>
              <w:tc>
                <w:tcPr>
                  <w:tcW w:w="129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2 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+j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-j </w:t>
                  </w:r>
                </w:p>
              </w:tc>
            </w:tr>
            <w:tr>
              <w:tblPrEx>
                <w:tblCellMar>
                  <w:top w:w="0" w:type="dxa"/>
                  <w:left w:w="0" w:type="dxa"/>
                  <w:bottom w:w="0" w:type="dxa"/>
                  <w:right w:w="0" w:type="dxa"/>
                </w:tblCellMar>
              </w:tblPrEx>
              <w:trPr>
                <w:jc w:val="center"/>
              </w:trPr>
              <w:tc>
                <w:tcPr>
                  <w:tcW w:w="129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3 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-j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-1 </w:t>
                  </w:r>
                </w:p>
              </w:tc>
              <w:tc>
                <w:tcPr>
                  <w:tcW w:w="868" w:type="dxa"/>
                  <w:tcBorders>
                    <w:top w:val="nil"/>
                    <w:left w:val="nil"/>
                    <w:bottom w:val="single" w:color="auto" w:sz="8" w:space="0"/>
                    <w:right w:val="single" w:color="auto" w:sz="8" w:space="0"/>
                  </w:tcBorders>
                  <w:tcMar>
                    <w:top w:w="0" w:type="dxa"/>
                    <w:left w:w="108" w:type="dxa"/>
                    <w:bottom w:w="0" w:type="dxa"/>
                    <w:right w:w="108" w:type="dxa"/>
                  </w:tcMar>
                </w:tcPr>
                <w:p>
                  <w:pPr>
                    <w:pStyle w:val="25"/>
                    <w:jc w:val="center"/>
                    <w:rPr>
                      <w:rFonts w:ascii="Times" w:hAnsi="Times" w:eastAsia="MS PGothic" w:cs="Times"/>
                      <w:color w:val="000000"/>
                      <w:sz w:val="20"/>
                      <w:szCs w:val="20"/>
                    </w:rPr>
                  </w:pPr>
                  <w:r>
                    <w:rPr>
                      <w:rStyle w:val="120"/>
                      <w:rFonts w:ascii="Times" w:hAnsi="Times" w:cs="Times"/>
                      <w:color w:val="000000"/>
                      <w:sz w:val="20"/>
                      <w:szCs w:val="20"/>
                    </w:rPr>
                    <w:t>+j </w:t>
                  </w:r>
                </w:p>
              </w:tc>
            </w:tr>
          </w:tbl>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PDSCH DMRS, considering that length 4 OCC with Walsh code has already been used for the legacy design of CSI-RS, hence Walsh code can be reused for DMRS with length 4 FD-OCC due to there is no need to support two kinds of OCC design.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PUSCH DMRS, both option 1-1 and option 1-2 can be considered in principle. However, a unified design is preferred for downlink and uplink transmission unless option 1-2 shows much better performance gain than option 1-2 in most of the use cases of Rel-18 DMRS port. Therefore, Walsh code should be used for PUSCH DMRS as well.</w:t>
      </w:r>
    </w:p>
    <w:p>
      <w:pPr>
        <w:snapToGrid w:val="0"/>
        <w:spacing w:before="10" w:after="10" w:line="288" w:lineRule="auto"/>
        <w:jc w:val="both"/>
        <w:rPr>
          <w:rFonts w:ascii="Times New Roman" w:hAnsi="Times New Roman"/>
          <w:sz w:val="20"/>
          <w:szCs w:val="20"/>
        </w:rPr>
      </w:pPr>
      <w:r>
        <w:rPr>
          <w:rFonts w:hint="eastAsia" w:ascii="Times New Roman" w:hAnsi="Times New Roman"/>
          <w:b/>
          <w:i/>
          <w:sz w:val="20"/>
          <w:szCs w:val="20"/>
        </w:rPr>
        <w:t>Proposal 4</w:t>
      </w:r>
      <w:r>
        <w:rPr>
          <w:rFonts w:ascii="Times New Roman" w:hAnsi="Times New Roman"/>
          <w:b/>
          <w:i/>
          <w:sz w:val="20"/>
          <w:szCs w:val="20"/>
        </w:rPr>
        <w:t xml:space="preserve">: </w:t>
      </w:r>
      <w:r>
        <w:rPr>
          <w:rFonts w:hint="eastAsia" w:ascii="Times New Roman" w:hAnsi="Times New Roman"/>
          <w:i/>
          <w:sz w:val="20"/>
          <w:szCs w:val="20"/>
        </w:rPr>
        <w:t>Support Walsh code for FD-OCC design with length 4 for both Rel-18 PDSCH DMRS and Rel-18 PUSCH DMRS.</w:t>
      </w:r>
      <w:bookmarkEnd w:id="16"/>
    </w:p>
    <w:bookmarkEnd w:id="14"/>
    <w:p>
      <w:pPr>
        <w:pStyle w:val="3"/>
        <w:numPr>
          <w:ilvl w:val="1"/>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Co-existence of legacy DMRS ports and Rel-18 DMRS ports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RAN1#110 meeting, </w:t>
      </w:r>
      <w:r>
        <w:rPr>
          <w:rFonts w:ascii="Times New Roman" w:hAnsi="Times New Roman"/>
          <w:sz w:val="20"/>
          <w:szCs w:val="20"/>
        </w:rPr>
        <w:t>one agreement was reached</w:t>
      </w:r>
      <w:r>
        <w:rPr>
          <w:rFonts w:hint="eastAsia" w:ascii="Times New Roman" w:hAnsi="Times New Roman"/>
          <w:sz w:val="20"/>
          <w:szCs w:val="20"/>
        </w:rPr>
        <w:t xml:space="preserve"> as follow</w:t>
      </w:r>
      <w:r>
        <w:rPr>
          <w:rFonts w:ascii="Times New Roman" w:hAnsi="Times New Roman"/>
          <w:sz w:val="20"/>
          <w:szCs w:val="20"/>
        </w:rPr>
        <w:t>s</w:t>
      </w:r>
      <w:r>
        <w:rPr>
          <w:rFonts w:hint="eastAsia" w:ascii="Times New Roman" w:hAnsi="Times New Roman"/>
          <w:sz w:val="20"/>
          <w:szCs w:val="20"/>
        </w:rPr>
        <w:t xml:space="preserve"> [4]</w:t>
      </w:r>
      <w:r>
        <w:rPr>
          <w:rFonts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lang w:eastAsia="ja-JP"/>
              </w:rPr>
            </w:pPr>
            <w:r>
              <w:rPr>
                <w:rFonts w:ascii="Times New Roman" w:hAnsi="Times New Roman"/>
                <w:b/>
                <w:color w:val="000000"/>
                <w:sz w:val="20"/>
                <w:szCs w:val="20"/>
                <w:u w:val="single"/>
                <w:lang w:eastAsia="ja-JP"/>
              </w:rPr>
              <w:t>Agreement</w:t>
            </w:r>
          </w:p>
          <w:p>
            <w:p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Support MU-MIMO between Rel.15 DMRS ports and Rel.18 DMRS ports.</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For MU-MIMO by different CDM groups, no MU-MIMO scheduling restriction of PUSCH/PDSCH (i.e. MU-MIMO between Rel.15 UE and Rel.18 UE is allowed).</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For MU-MIMO within a CDM group, study whether and how to support MU-MIMO between Rel.15 DMRS ports and Rel.18 DMRS ports for PDSCH.</w:t>
            </w:r>
          </w:p>
          <w:p>
            <w:pPr>
              <w:pStyle w:val="99"/>
              <w:numPr>
                <w:ilvl w:val="1"/>
                <w:numId w:val="9"/>
              </w:numPr>
              <w:spacing w:after="0" w:line="288" w:lineRule="auto"/>
              <w:ind w:firstLine="400"/>
              <w:jc w:val="both"/>
              <w:rPr>
                <w:rFonts w:ascii="Times New Roman" w:hAnsi="Times New Roman" w:eastAsia="Malgun Gothic"/>
                <w:sz w:val="20"/>
                <w:szCs w:val="20"/>
                <w:lang w:eastAsia="ja-JP"/>
              </w:rPr>
            </w:pPr>
            <w:r>
              <w:rPr>
                <w:rFonts w:ascii="Times New Roman" w:hAnsi="Times New Roman" w:eastAsia="Malgun Gothic"/>
                <w:sz w:val="20"/>
                <w:szCs w:val="20"/>
                <w:lang w:eastAsia="ja-JP"/>
              </w:rPr>
              <w:t>Note: the study includes MU-MIMO between Rel.15 UE and Rel.18 UE, and between Rel.18 UEs.</w:t>
            </w:r>
          </w:p>
          <w:p>
            <w:pPr>
              <w:pStyle w:val="99"/>
              <w:numPr>
                <w:ilvl w:val="0"/>
                <w:numId w:val="9"/>
              </w:numPr>
              <w:spacing w:after="0" w:line="288" w:lineRule="auto"/>
              <w:ind w:left="839" w:firstLine="148" w:firstLineChars="74"/>
              <w:jc w:val="both"/>
              <w:rPr>
                <w:rFonts w:ascii="Times New Roman" w:hAnsi="Times New Roman"/>
                <w:sz w:val="20"/>
                <w:szCs w:val="20"/>
              </w:rPr>
            </w:pPr>
            <w:r>
              <w:rPr>
                <w:rFonts w:ascii="Times New Roman" w:hAnsi="Times New Roman" w:eastAsia="宋体"/>
                <w:bCs/>
                <w:sz w:val="20"/>
                <w:szCs w:val="20"/>
                <w:lang w:eastAsia="ja-JP"/>
              </w:rPr>
              <w:t>Note: PUSCH above is CP-OFDM waveform.</w:t>
            </w:r>
          </w:p>
        </w:tc>
      </w:tr>
    </w:tbl>
    <w:p>
      <w:pPr>
        <w:snapToGrid w:val="0"/>
        <w:spacing w:before="180" w:beforeLines="50" w:after="180" w:afterLines="50" w:line="288" w:lineRule="auto"/>
        <w:jc w:val="both"/>
        <w:rPr>
          <w:rFonts w:ascii="Times New Roman" w:hAnsi="Times New Roman"/>
          <w:sz w:val="20"/>
          <w:szCs w:val="20"/>
        </w:rPr>
      </w:pPr>
      <w:bookmarkStart w:id="17" w:name="OLE_LINK14"/>
      <w:r>
        <w:rPr>
          <w:rFonts w:hint="eastAsia" w:ascii="Times New Roman" w:hAnsi="Times New Roman"/>
          <w:sz w:val="20"/>
          <w:szCs w:val="20"/>
        </w:rPr>
        <w:t>To support larger number of orthogonal DMRS ports, it is beneficial to co-schedule the legacy DMRS ports and Rel-18 DMRS ports in the same CDM group. Furthermore, some criterion should be determined:</w:t>
      </w:r>
    </w:p>
    <w:p>
      <w:pPr>
        <w:numPr>
          <w:ilvl w:val="0"/>
          <w:numId w:val="10"/>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If the number of CDM group without data is indicated as one and Rel-15 DMRS ports is indicated to one UE, other Rel-18 DMRS ports in the same CDM group can still be indicated to other UEs. </w:t>
      </w:r>
    </w:p>
    <w:p>
      <w:pPr>
        <w:numPr>
          <w:ilvl w:val="0"/>
          <w:numId w:val="10"/>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If the number of CDM group without data is indicated as two, for single symbol DMRS type 1, the other DMRS ports in the same CDM group(s) should not be indicated to other UEs. </w:t>
      </w:r>
    </w:p>
    <w:p>
      <w:pPr>
        <w:numPr>
          <w:ilvl w:val="0"/>
          <w:numId w:val="10"/>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For single symbol DMRS type 2, even if DMRS ports #0, 1, 2 are indicated to one UE, the other DMRS port #3 can still be indicated to other UEs. Basically, similar principle can be reused for the co-scheduled Rel-15 and Rel-18 DMRS ports. </w:t>
      </w:r>
    </w:p>
    <w:p>
      <w:pPr>
        <w:numPr>
          <w:ilvl w:val="0"/>
          <w:numId w:val="10"/>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DMRS type 2, in the case of the number of CDM group without date is indicated as more than two, Rel-18 DMRS ports can be co-scheduled in the same CDM group with Rel-15 DMRS ports.</w:t>
      </w:r>
    </w:p>
    <w:p>
      <w:p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sz w:val="20"/>
          <w:szCs w:val="20"/>
        </w:rPr>
        <w:t>Besides, some restrict</w:t>
      </w:r>
      <w:r>
        <w:rPr>
          <w:rFonts w:ascii="Times New Roman" w:hAnsi="Times New Roman"/>
          <w:sz w:val="20"/>
          <w:szCs w:val="20"/>
        </w:rPr>
        <w:t>ion</w:t>
      </w:r>
      <w:r>
        <w:rPr>
          <w:rFonts w:hint="eastAsia" w:ascii="Times New Roman" w:hAnsi="Times New Roman"/>
          <w:sz w:val="20"/>
          <w:szCs w:val="20"/>
        </w:rPr>
        <w:t xml:space="preserve"> should be reached to keep the orthogonality of DMRS ports. For example, if the legacy DMRS ports with length 2 FD-OCC of [+1, +1], Rel-18 DMRS port with length 4 FD-OCC of [+1, +1, +1, +1] cannot be co-scheduled in the same CDM group. Hence, if </w:t>
      </w:r>
      <w:r>
        <w:rPr>
          <w:rFonts w:hint="eastAsia" w:ascii="Times New Roman" w:hAnsi="Times New Roman"/>
          <w:iCs/>
          <w:sz w:val="20"/>
          <w:szCs w:val="20"/>
        </w:rPr>
        <w:t>Rel-18 DMRS ports are co-scheduled with Rel-15 DMRS in the same CDM group, the OCC of the scheduled Rel-18 DMRS ports should be orthogonal with Rel-15 DMRS ports anyways.</w:t>
      </w:r>
    </w:p>
    <w:p>
      <w:pPr>
        <w:snapToGrid w:val="0"/>
        <w:spacing w:before="10" w:after="10" w:line="288" w:lineRule="auto"/>
        <w:jc w:val="both"/>
        <w:rPr>
          <w:rFonts w:ascii="Times New Roman" w:hAnsi="Times New Roman"/>
          <w:i/>
          <w:sz w:val="20"/>
          <w:szCs w:val="20"/>
        </w:rPr>
      </w:pPr>
      <w:bookmarkStart w:id="18" w:name="OLE_LINK8"/>
      <w:r>
        <w:rPr>
          <w:rFonts w:hint="eastAsia" w:ascii="Times New Roman" w:hAnsi="Times New Roman"/>
          <w:b/>
          <w:i/>
          <w:sz w:val="20"/>
          <w:szCs w:val="20"/>
        </w:rPr>
        <w:t>Proposal 5</w:t>
      </w:r>
      <w:r>
        <w:rPr>
          <w:rFonts w:ascii="Times New Roman" w:hAnsi="Times New Roman"/>
          <w:b/>
          <w:i/>
          <w:sz w:val="20"/>
          <w:szCs w:val="20"/>
        </w:rPr>
        <w:t xml:space="preserve">: </w:t>
      </w:r>
      <w:bookmarkStart w:id="19" w:name="OLE_LINK16"/>
      <w:r>
        <w:rPr>
          <w:rFonts w:hint="eastAsia" w:ascii="Times New Roman" w:hAnsi="Times New Roman"/>
          <w:i/>
          <w:sz w:val="20"/>
          <w:szCs w:val="20"/>
        </w:rPr>
        <w:t xml:space="preserve">Support to enable </w:t>
      </w:r>
      <w:r>
        <w:rPr>
          <w:rFonts w:ascii="Times New Roman" w:hAnsi="Times New Roman" w:eastAsia="Times New Roman"/>
          <w:i/>
          <w:iCs/>
          <w:color w:val="000000"/>
          <w:sz w:val="20"/>
          <w:szCs w:val="20"/>
          <w:lang w:eastAsia="ja-JP"/>
        </w:rPr>
        <w:t>MU-MIMO between Rel</w:t>
      </w:r>
      <w:r>
        <w:rPr>
          <w:rFonts w:hint="eastAsia" w:ascii="Times New Roman" w:hAnsi="Times New Roman" w:eastAsia="宋体"/>
          <w:i/>
          <w:iCs/>
          <w:color w:val="000000"/>
          <w:sz w:val="20"/>
          <w:szCs w:val="20"/>
        </w:rPr>
        <w:t>-</w:t>
      </w:r>
      <w:r>
        <w:rPr>
          <w:rFonts w:ascii="Times New Roman" w:hAnsi="Times New Roman" w:eastAsia="Times New Roman"/>
          <w:i/>
          <w:iCs/>
          <w:color w:val="000000"/>
          <w:sz w:val="20"/>
          <w:szCs w:val="20"/>
          <w:lang w:eastAsia="ja-JP"/>
        </w:rPr>
        <w:t>15 DMRS ports and Rel</w:t>
      </w:r>
      <w:r>
        <w:rPr>
          <w:rFonts w:hint="eastAsia" w:ascii="Times New Roman" w:hAnsi="Times New Roman" w:eastAsia="宋体"/>
          <w:i/>
          <w:iCs/>
          <w:color w:val="000000"/>
          <w:sz w:val="20"/>
          <w:szCs w:val="20"/>
        </w:rPr>
        <w:t>-</w:t>
      </w:r>
      <w:r>
        <w:rPr>
          <w:rFonts w:ascii="Times New Roman" w:hAnsi="Times New Roman" w:eastAsia="Times New Roman"/>
          <w:i/>
          <w:iCs/>
          <w:color w:val="000000"/>
          <w:sz w:val="20"/>
          <w:szCs w:val="20"/>
          <w:lang w:eastAsia="ja-JP"/>
        </w:rPr>
        <w:t>18 DMRS ports</w:t>
      </w:r>
      <w:r>
        <w:rPr>
          <w:rFonts w:hint="eastAsia" w:ascii="Times New Roman" w:hAnsi="Times New Roman" w:eastAsia="宋体"/>
          <w:i/>
          <w:iCs/>
          <w:color w:val="000000"/>
          <w:sz w:val="20"/>
          <w:szCs w:val="20"/>
        </w:rPr>
        <w:t xml:space="preserve"> </w:t>
      </w:r>
      <w:r>
        <w:rPr>
          <w:rFonts w:ascii="Times New Roman" w:hAnsi="Times New Roman" w:eastAsia="Times New Roman"/>
          <w:i/>
          <w:iCs/>
          <w:color w:val="000000"/>
          <w:sz w:val="20"/>
          <w:szCs w:val="20"/>
          <w:lang w:eastAsia="ja-JP"/>
        </w:rPr>
        <w:t>in the same CDM group</w:t>
      </w:r>
      <w:r>
        <w:rPr>
          <w:rFonts w:hint="eastAsia" w:ascii="Times New Roman" w:hAnsi="Times New Roman"/>
          <w:i/>
          <w:iCs/>
          <w:sz w:val="20"/>
          <w:szCs w:val="20"/>
        </w:rPr>
        <w:t>.</w:t>
      </w:r>
      <w:r>
        <w:rPr>
          <w:rFonts w:ascii="Times New Roman" w:hAnsi="Times New Roman"/>
          <w:i/>
          <w:sz w:val="20"/>
          <w:szCs w:val="20"/>
        </w:rPr>
        <w:t xml:space="preserve"> </w:t>
      </w:r>
    </w:p>
    <w:bookmarkEnd w:id="18"/>
    <w:p>
      <w:pPr>
        <w:numPr>
          <w:ilvl w:val="0"/>
          <w:numId w:val="11"/>
        </w:numPr>
        <w:snapToGrid w:val="0"/>
        <w:spacing w:before="10" w:after="10" w:line="288" w:lineRule="auto"/>
        <w:jc w:val="both"/>
        <w:rPr>
          <w:rFonts w:ascii="Times New Roman" w:hAnsi="Times New Roman"/>
          <w:sz w:val="20"/>
          <w:szCs w:val="20"/>
        </w:rPr>
      </w:pPr>
      <w:r>
        <w:rPr>
          <w:rFonts w:hint="eastAsia" w:ascii="Times New Roman" w:hAnsi="Times New Roman"/>
          <w:i/>
          <w:sz w:val="20"/>
          <w:szCs w:val="20"/>
        </w:rPr>
        <w:t xml:space="preserve">If Rel-18 DMRS ports are co-scheduled with Rel-15 DMRS in the same CDM group, the OCC of the scheduled Rel-18 DMRS ports should </w:t>
      </w:r>
      <w:r>
        <w:rPr>
          <w:rFonts w:ascii="Times New Roman" w:hAnsi="Times New Roman"/>
          <w:i/>
          <w:sz w:val="20"/>
          <w:szCs w:val="20"/>
        </w:rPr>
        <w:t xml:space="preserve">be </w:t>
      </w:r>
      <w:r>
        <w:rPr>
          <w:rFonts w:hint="eastAsia" w:ascii="Times New Roman" w:hAnsi="Times New Roman"/>
          <w:i/>
          <w:sz w:val="20"/>
          <w:szCs w:val="20"/>
        </w:rPr>
        <w:t>orthogonal with that of Rel-15 DMRS ports.</w:t>
      </w:r>
    </w:p>
    <w:p>
      <w:pPr>
        <w:pStyle w:val="3"/>
        <w:numPr>
          <w:ilvl w:val="1"/>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 xml:space="preserve">Scheduling restriction for MU-MIMO </w:t>
      </w:r>
    </w:p>
    <w:p>
      <w:pPr>
        <w:snapToGrid w:val="0"/>
        <w:spacing w:before="180" w:beforeLines="50" w:after="180" w:afterLines="50" w:line="288" w:lineRule="auto"/>
        <w:jc w:val="both"/>
        <w:rPr>
          <w:rFonts w:ascii="Times New Roman" w:hAnsi="Times New Roman"/>
          <w:i/>
          <w:sz w:val="20"/>
          <w:szCs w:val="20"/>
        </w:rPr>
      </w:pPr>
      <w:r>
        <w:rPr>
          <w:rFonts w:hint="eastAsia" w:ascii="Times New Roman" w:hAnsi="Times New Roman"/>
          <w:sz w:val="20"/>
          <w:szCs w:val="20"/>
        </w:rPr>
        <w:t xml:space="preserve">In RAN1#110bis e-meeting, the following agreements on scheduling restriction for Rel-18 DMRS </w:t>
      </w:r>
      <w:r>
        <w:rPr>
          <w:rFonts w:ascii="Times New Roman" w:hAnsi="Times New Roman"/>
          <w:sz w:val="20"/>
          <w:szCs w:val="20"/>
        </w:rPr>
        <w:t>was reached</w:t>
      </w:r>
      <w:r>
        <w:rPr>
          <w:rFonts w:hint="eastAsia" w:ascii="Times New Roman" w:hAnsi="Times New Roman"/>
          <w:sz w:val="20"/>
          <w:szCs w:val="20"/>
        </w:rPr>
        <w:t xml:space="preserve">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21"/>
              <w:shd w:val="clear" w:color="auto" w:fill="FFFFFF"/>
              <w:jc w:val="both"/>
              <w:rPr>
                <w:rFonts w:ascii="Times" w:hAnsi="Times" w:eastAsia="MS PGothic" w:cs="Times"/>
                <w:color w:val="000000"/>
                <w:sz w:val="20"/>
                <w:szCs w:val="20"/>
                <w:u w:val="single"/>
              </w:rPr>
            </w:pPr>
            <w:r>
              <w:rPr>
                <w:rStyle w:val="120"/>
                <w:rFonts w:ascii="Times" w:hAnsi="Times" w:cs="Times"/>
                <w:b/>
                <w:bCs/>
                <w:color w:val="242424"/>
                <w:sz w:val="20"/>
                <w:szCs w:val="20"/>
                <w:u w:val="single"/>
              </w:rPr>
              <w:t>Agreement</w:t>
            </w:r>
          </w:p>
          <w:p>
            <w:pPr>
              <w:shd w:val="clear" w:color="auto" w:fill="FFFFFF"/>
              <w:spacing w:after="0"/>
              <w:jc w:val="both"/>
              <w:rPr>
                <w:rFonts w:ascii="Times New Roman" w:hAnsi="Times New Roman" w:eastAsia="Yu Gothic UI"/>
                <w:color w:val="000000"/>
                <w:sz w:val="20"/>
                <w:szCs w:val="20"/>
                <w:lang w:eastAsia="ja-JP"/>
              </w:rPr>
            </w:pPr>
            <w:r>
              <w:rPr>
                <w:rFonts w:ascii="Times New Roman" w:hAnsi="Times New Roman" w:eastAsia="Yu Gothic UI"/>
                <w:color w:val="000000"/>
                <w:sz w:val="20"/>
                <w:szCs w:val="20"/>
                <w:lang w:eastAsia="ja-JP"/>
              </w:rPr>
              <w:t>For FD-OCC length 4 in Rel.18 eType 1 DMRS for PDSCH, support the following: </w:t>
            </w:r>
          </w:p>
          <w:p>
            <w:pPr>
              <w:numPr>
                <w:ilvl w:val="0"/>
                <w:numId w:val="12"/>
              </w:numPr>
              <w:shd w:val="clear" w:color="auto" w:fill="FFFFFF"/>
              <w:spacing w:after="0"/>
              <w:jc w:val="both"/>
              <w:rPr>
                <w:rFonts w:ascii="Times New Roman" w:hAnsi="Times New Roman" w:eastAsia="Yu Gothic UI"/>
                <w:color w:val="000000"/>
                <w:sz w:val="20"/>
                <w:szCs w:val="20"/>
                <w:lang w:eastAsia="ja-JP"/>
              </w:rPr>
            </w:pPr>
            <w:r>
              <w:rPr>
                <w:rFonts w:ascii="Times New Roman" w:hAnsi="Times New Roman" w:eastAsia="Yu Gothic UI"/>
                <w:color w:val="000000"/>
                <w:sz w:val="20"/>
                <w:szCs w:val="20"/>
                <w:lang w:eastAsia="ja-JP"/>
              </w:rPr>
              <w:t>Introduce UE capability to repo</w:t>
            </w:r>
            <w:r>
              <w:rPr>
                <w:rFonts w:ascii="Times New Roman" w:hAnsi="Times New Roman" w:eastAsia="Yu Gothic UI"/>
                <w:color w:val="000000"/>
                <w:sz w:val="20"/>
                <w:szCs w:val="20"/>
                <w:shd w:val="clear" w:color="auto" w:fill="FFFFFF"/>
                <w:lang w:eastAsia="ja-JP"/>
              </w:rPr>
              <w:t>rt whether UE can be scheduled PDSCH without the scheduling restriction for FD-OCC length 4 in Rel.18 eType 1 DMRS. </w:t>
            </w:r>
          </w:p>
          <w:p>
            <w:pPr>
              <w:numPr>
                <w:ilvl w:val="1"/>
                <w:numId w:val="12"/>
              </w:numPr>
              <w:shd w:val="clear" w:color="auto" w:fill="FFFFFF"/>
              <w:spacing w:after="0"/>
              <w:jc w:val="both"/>
              <w:rPr>
                <w:rFonts w:ascii="Times New Roman" w:hAnsi="Times New Roman" w:eastAsia="Yu Gothic UI"/>
                <w:color w:val="000000"/>
                <w:sz w:val="20"/>
                <w:szCs w:val="20"/>
                <w:lang w:eastAsia="ja-JP"/>
              </w:rPr>
            </w:pPr>
            <w:r>
              <w:rPr>
                <w:rFonts w:ascii="Times New Roman" w:hAnsi="Times New Roman" w:eastAsia="Yu Gothic UI"/>
                <w:color w:val="000000"/>
                <w:sz w:val="20"/>
                <w:szCs w:val="20"/>
                <w:shd w:val="clear" w:color="auto" w:fill="FFFFFF"/>
                <w:lang w:eastAsia="ja-JP"/>
              </w:rPr>
              <w:t>If this capability is not supported by the UE, UE expects that gNB shall apply the scheduling restriction for PDSCH for FD-OCC length 4 in Rel.18 eType 1 DMRS.</w:t>
            </w:r>
          </w:p>
          <w:p>
            <w:pPr>
              <w:numPr>
                <w:ilvl w:val="0"/>
                <w:numId w:val="12"/>
              </w:numPr>
              <w:shd w:val="clear" w:color="auto" w:fill="FFFFFF"/>
              <w:spacing w:after="0"/>
              <w:jc w:val="both"/>
              <w:rPr>
                <w:rFonts w:ascii="Times New Roman" w:hAnsi="Times New Roman" w:eastAsia="Yu Gothic UI"/>
                <w:sz w:val="20"/>
                <w:szCs w:val="20"/>
                <w:lang w:eastAsia="ja-JP"/>
              </w:rPr>
            </w:pPr>
            <w:r>
              <w:rPr>
                <w:rFonts w:ascii="Times New Roman" w:hAnsi="Times New Roman" w:eastAsia="Yu Gothic UI"/>
                <w:color w:val="000000"/>
                <w:sz w:val="20"/>
                <w:szCs w:val="20"/>
                <w:shd w:val="clear" w:color="auto" w:fill="FFFFFF"/>
                <w:lang w:eastAsia="ja-JP"/>
              </w:rPr>
              <w:t xml:space="preserve">The scheduling restriction above means satisfying all of the following at least for other </w:t>
            </w:r>
            <w:r>
              <w:rPr>
                <w:rFonts w:ascii="Times New Roman" w:hAnsi="Times New Roman" w:eastAsia="Yu Gothic UI"/>
                <w:sz w:val="20"/>
                <w:szCs w:val="20"/>
                <w:shd w:val="clear" w:color="auto" w:fill="FFFFFF"/>
                <w:lang w:eastAsia="ja-JP"/>
              </w:rPr>
              <w:t>than M-TRP PDSCH transmission with FDM 2a or FDM 2b scheme. </w:t>
            </w:r>
          </w:p>
          <w:p>
            <w:pPr>
              <w:numPr>
                <w:ilvl w:val="1"/>
                <w:numId w:val="12"/>
              </w:numPr>
              <w:shd w:val="clear" w:color="auto" w:fill="FFFFFF"/>
              <w:spacing w:after="0"/>
              <w:jc w:val="both"/>
              <w:rPr>
                <w:rFonts w:ascii="Times New Roman" w:hAnsi="Times New Roman" w:eastAsia="Yu Gothic UI"/>
                <w:sz w:val="20"/>
                <w:szCs w:val="20"/>
                <w:lang w:eastAsia="ja-JP"/>
              </w:rPr>
            </w:pPr>
            <w:r>
              <w:rPr>
                <w:rFonts w:ascii="Times New Roman" w:hAnsi="Times New Roman" w:eastAsia="Yu Gothic UI"/>
                <w:sz w:val="20"/>
                <w:szCs w:val="20"/>
                <w:shd w:val="clear" w:color="auto" w:fill="FFFFFF"/>
                <w:lang w:eastAsia="ja-JP"/>
              </w:rPr>
              <w:t>1) The number of consecutively scheduled PRBs for PDSCH is even.</w:t>
            </w:r>
          </w:p>
          <w:p>
            <w:pPr>
              <w:numPr>
                <w:ilvl w:val="1"/>
                <w:numId w:val="12"/>
              </w:numPr>
              <w:shd w:val="clear" w:color="auto" w:fill="FFFFFF"/>
              <w:spacing w:after="0"/>
              <w:jc w:val="both"/>
              <w:rPr>
                <w:rFonts w:ascii="Times New Roman" w:hAnsi="Times New Roman" w:eastAsia="Yu Gothic UI"/>
                <w:sz w:val="20"/>
                <w:szCs w:val="20"/>
                <w:lang w:eastAsia="ja-JP"/>
              </w:rPr>
            </w:pPr>
            <w:r>
              <w:rPr>
                <w:rFonts w:ascii="Times New Roman" w:hAnsi="Times New Roman" w:eastAsia="Yu Gothic UI"/>
                <w:sz w:val="20"/>
                <w:szCs w:val="20"/>
                <w:lang w:eastAsia="ja-JP"/>
              </w:rPr>
              <w:t>2) The number of PRBs offset of scheduled PDSCH from point A (common resource block 0) is even.</w:t>
            </w:r>
          </w:p>
          <w:p>
            <w:pPr>
              <w:numPr>
                <w:ilvl w:val="1"/>
                <w:numId w:val="12"/>
              </w:numPr>
              <w:shd w:val="clear" w:color="auto" w:fill="FFFFFF"/>
              <w:spacing w:after="0"/>
              <w:jc w:val="both"/>
              <w:rPr>
                <w:rFonts w:ascii="Times New Roman" w:hAnsi="Times New Roman" w:eastAsia="Yu Gothic UI"/>
                <w:sz w:val="20"/>
                <w:szCs w:val="20"/>
                <w:lang w:eastAsia="ja-JP"/>
              </w:rPr>
            </w:pPr>
            <w:r>
              <w:rPr>
                <w:rFonts w:ascii="Times New Roman" w:hAnsi="Times New Roman" w:eastAsia="Yu Gothic UI"/>
                <w:sz w:val="20"/>
                <w:szCs w:val="20"/>
                <w:lang w:eastAsia="ja-JP"/>
              </w:rPr>
              <w:t>3) FFS: Restriction on scheduling of different UEs in case of MU-MIMO.</w:t>
            </w:r>
          </w:p>
          <w:p>
            <w:pPr>
              <w:numPr>
                <w:ilvl w:val="1"/>
                <w:numId w:val="12"/>
              </w:numPr>
              <w:shd w:val="clear" w:color="auto" w:fill="FFFFFF"/>
              <w:spacing w:after="0"/>
              <w:jc w:val="both"/>
              <w:rPr>
                <w:rFonts w:ascii="Times New Roman" w:hAnsi="Times New Roman" w:eastAsia="Yu Gothic UI"/>
                <w:sz w:val="20"/>
                <w:szCs w:val="20"/>
                <w:lang w:eastAsia="ja-JP"/>
              </w:rPr>
            </w:pPr>
            <w:r>
              <w:rPr>
                <w:rFonts w:ascii="Times New Roman" w:hAnsi="Times New Roman" w:eastAsia="Yu Gothic UI"/>
                <w:sz w:val="20"/>
                <w:szCs w:val="20"/>
                <w:shd w:val="clear" w:color="auto" w:fill="FFFFFF"/>
                <w:lang w:eastAsia="ja-JP"/>
              </w:rPr>
              <w:t>FFS: Scheduling restriction for M-TRP PDSCH transmission with FDM 2a or FDM 2b scheme.</w:t>
            </w:r>
          </w:p>
          <w:p>
            <w:pPr>
              <w:numPr>
                <w:ilvl w:val="0"/>
                <w:numId w:val="12"/>
              </w:numPr>
              <w:shd w:val="clear" w:color="auto" w:fill="FFFFFF"/>
              <w:spacing w:after="0"/>
              <w:jc w:val="both"/>
              <w:rPr>
                <w:rFonts w:ascii="Times New Roman" w:hAnsi="Times New Roman" w:eastAsia="Yu Gothic UI"/>
                <w:sz w:val="20"/>
                <w:szCs w:val="20"/>
                <w:lang w:eastAsia="ja-JP"/>
              </w:rPr>
            </w:pPr>
            <w:r>
              <w:rPr>
                <w:rFonts w:ascii="Times New Roman" w:hAnsi="Times New Roman" w:eastAsia="Yu Gothic UI"/>
                <w:sz w:val="20"/>
                <w:szCs w:val="20"/>
                <w:shd w:val="clear" w:color="auto" w:fill="FFFFFF"/>
                <w:lang w:eastAsia="ja-JP"/>
              </w:rPr>
              <w:t>Note1: Up to UE how to implement DMRS channel estimation.</w:t>
            </w:r>
          </w:p>
          <w:p>
            <w:pPr>
              <w:numPr>
                <w:ilvl w:val="0"/>
                <w:numId w:val="12"/>
              </w:numPr>
              <w:shd w:val="clear" w:color="auto" w:fill="FFFFFF"/>
              <w:spacing w:after="0"/>
              <w:jc w:val="both"/>
              <w:rPr>
                <w:rFonts w:ascii="Times New Roman" w:hAnsi="Times New Roman" w:eastAsia="Yu Gothic UI"/>
                <w:color w:val="000000"/>
                <w:sz w:val="20"/>
                <w:szCs w:val="20"/>
                <w:lang w:eastAsia="ja-JP"/>
              </w:rPr>
            </w:pPr>
            <w:r>
              <w:rPr>
                <w:rFonts w:ascii="Times New Roman" w:hAnsi="Times New Roman" w:eastAsia="Yu Gothic UI"/>
                <w:sz w:val="20"/>
                <w:szCs w:val="20"/>
                <w:shd w:val="clear" w:color="auto" w:fill="FFFFFF"/>
                <w:lang w:eastAsia="ja-JP"/>
              </w:rPr>
              <w:t>Note2: No further RAN1 specification enhancement is introduced to handle the orphan REs (e.g. if the total number of REs of DMRS in a CDM</w:t>
            </w:r>
            <w:r>
              <w:rPr>
                <w:rFonts w:ascii="Times New Roman" w:hAnsi="Times New Roman" w:eastAsia="Yu Gothic UI"/>
                <w:color w:val="000000"/>
                <w:sz w:val="20"/>
                <w:szCs w:val="20"/>
                <w:shd w:val="clear" w:color="auto" w:fill="FFFFFF"/>
                <w:lang w:eastAsia="ja-JP"/>
              </w:rPr>
              <w:t xml:space="preserve"> group is not multiples of 4, how to handle the remainder of REs) for UE that is scheduled PDSCH without the scheduling restriction.</w:t>
            </w:r>
          </w:p>
          <w:p>
            <w:pPr>
              <w:numPr>
                <w:ilvl w:val="0"/>
                <w:numId w:val="12"/>
              </w:numPr>
              <w:shd w:val="clear" w:color="auto" w:fill="FFFFFF"/>
              <w:spacing w:after="0"/>
              <w:jc w:val="both"/>
              <w:rPr>
                <w:rFonts w:ascii="Times New Roman" w:hAnsi="Times New Roman" w:eastAsia="Yu Gothic UI"/>
                <w:sz w:val="20"/>
                <w:szCs w:val="20"/>
                <w:lang w:eastAsia="ja-JP"/>
              </w:rPr>
            </w:pPr>
            <w:r>
              <w:rPr>
                <w:rFonts w:ascii="Times New Roman" w:hAnsi="Times New Roman" w:eastAsia="Yu Gothic UI"/>
                <w:sz w:val="20"/>
                <w:szCs w:val="20"/>
                <w:shd w:val="clear" w:color="auto" w:fill="FFFFFF"/>
                <w:lang w:eastAsia="ja-JP"/>
              </w:rPr>
              <w:t>Note 3: Other scheduling restrictions, if identified in future meetings, are not precluded.</w:t>
            </w:r>
          </w:p>
          <w:p>
            <w:pPr>
              <w:tabs>
                <w:tab w:val="left" w:pos="420"/>
              </w:tabs>
              <w:snapToGrid w:val="0"/>
              <w:spacing w:before="10" w:after="10" w:line="288" w:lineRule="auto"/>
              <w:jc w:val="both"/>
              <w:rPr>
                <w:rFonts w:ascii="Times New Roman" w:hAnsi="Times New Roman"/>
                <w:i/>
                <w:sz w:val="20"/>
                <w:szCs w:val="20"/>
              </w:rPr>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the last meeting, it was agreed to make some restrictions of the consecutive scheduled PRBs for single UE if UE cannot handle the orphan REs. Wherein, each UE is scheduled from point A or an even number of PRBs offset of the scheduled PDSCH in MU-MIMO scenario. That means for multiple co-scheduled UEs that cannot handle the orphan REs, the same point or an even number of PRBs offset are scheduled among these UEs. Similar to legacy MU-MIMO, even if the UEs are scheduled from different start point, the DMRS ports of different UEs can still keep orthogonality. Therefore, it can b</w:t>
      </w:r>
      <w:r>
        <w:rPr>
          <w:rFonts w:ascii="Times New Roman" w:hAnsi="Times New Roman"/>
          <w:sz w:val="20"/>
          <w:szCs w:val="20"/>
        </w:rPr>
        <w:t xml:space="preserve">e </w:t>
      </w:r>
      <w:r>
        <w:rPr>
          <w:rFonts w:hint="eastAsia" w:ascii="Times New Roman" w:hAnsi="Times New Roman"/>
          <w:sz w:val="20"/>
          <w:szCs w:val="20"/>
        </w:rPr>
        <w:t>observed that:</w:t>
      </w:r>
    </w:p>
    <w:p>
      <w:pPr>
        <w:snapToGrid w:val="0"/>
        <w:spacing w:before="10" w:after="10" w:line="288" w:lineRule="auto"/>
        <w:jc w:val="both"/>
        <w:rPr>
          <w:rFonts w:ascii="Times New Roman" w:hAnsi="Times New Roman"/>
          <w:i/>
          <w:sz w:val="20"/>
          <w:szCs w:val="20"/>
        </w:rPr>
      </w:pPr>
      <w:bookmarkStart w:id="20" w:name="OLE_LINK23"/>
      <w:r>
        <w:rPr>
          <w:rFonts w:hint="eastAsia" w:ascii="Times New Roman" w:hAnsi="Times New Roman"/>
          <w:b/>
          <w:i/>
          <w:sz w:val="20"/>
          <w:szCs w:val="20"/>
        </w:rPr>
        <w:t>Observation 2</w:t>
      </w:r>
      <w:r>
        <w:rPr>
          <w:rFonts w:ascii="Times New Roman" w:hAnsi="Times New Roman"/>
          <w:b/>
          <w:i/>
          <w:sz w:val="20"/>
          <w:szCs w:val="20"/>
        </w:rPr>
        <w:t xml:space="preserve">: </w:t>
      </w:r>
      <w:r>
        <w:rPr>
          <w:rFonts w:hint="eastAsia" w:ascii="Times New Roman" w:hAnsi="Times New Roman"/>
          <w:bCs/>
          <w:i/>
          <w:sz w:val="20"/>
          <w:szCs w:val="20"/>
        </w:rPr>
        <w:t xml:space="preserve">In the case of MU-MIMO, no more </w:t>
      </w:r>
      <w:r>
        <w:rPr>
          <w:rFonts w:hint="eastAsia" w:ascii="Times New Roman" w:hAnsi="Times New Roman"/>
          <w:i/>
          <w:sz w:val="20"/>
          <w:szCs w:val="20"/>
        </w:rPr>
        <w:t>restriction is needed for the scheduling PRBs of different UEs in case of MU-MIMO.</w:t>
      </w:r>
    </w:p>
    <w:bookmarkEnd w:id="20"/>
    <w:p>
      <w:pPr>
        <w:tabs>
          <w:tab w:val="left" w:pos="420"/>
        </w:tabs>
        <w:snapToGrid w:val="0"/>
        <w:spacing w:before="10" w:after="10" w:line="288" w:lineRule="auto"/>
        <w:jc w:val="both"/>
        <w:rPr>
          <w:rFonts w:ascii="Times New Roman" w:hAnsi="Times New Roman"/>
          <w:iCs/>
          <w:sz w:val="20"/>
          <w:szCs w:val="20"/>
        </w:rPr>
      </w:pPr>
    </w:p>
    <w:p>
      <w:pPr>
        <w:snapToGrid w:val="0"/>
        <w:rPr>
          <w:rFonts w:ascii="Times New Roman" w:hAnsi="Times New Roman"/>
          <w:iCs/>
          <w:sz w:val="20"/>
          <w:szCs w:val="20"/>
        </w:rPr>
      </w:pPr>
      <w:r>
        <w:rPr>
          <w:rFonts w:ascii="Times New Roman" w:hAnsi="Times New Roman"/>
          <w:iCs/>
          <w:sz w:val="20"/>
          <w:szCs w:val="20"/>
        </w:rPr>
        <w:t xml:space="preserve">In TS 38.214 </w:t>
      </w:r>
      <w:r>
        <w:rPr>
          <w:rFonts w:ascii="Times New Roman" w:hAnsi="Times New Roman"/>
          <w:color w:val="000000"/>
          <w:kern w:val="2"/>
          <w:sz w:val="20"/>
          <w:szCs w:val="20"/>
        </w:rPr>
        <w:t>Section 5.1.2.3</w:t>
      </w:r>
      <w:r>
        <w:rPr>
          <w:rFonts w:ascii="Times New Roman" w:hAnsi="Times New Roman"/>
          <w:iCs/>
          <w:sz w:val="20"/>
          <w:szCs w:val="20"/>
        </w:rPr>
        <w:t xml:space="preserve">, </w:t>
      </w:r>
      <w:r>
        <w:rPr>
          <w:rFonts w:hint="eastAsia" w:ascii="Times New Roman" w:hAnsi="Times New Roman"/>
          <w:iCs/>
          <w:sz w:val="20"/>
          <w:szCs w:val="20"/>
        </w:rPr>
        <w:t xml:space="preserve">the </w:t>
      </w:r>
      <w:r>
        <w:rPr>
          <w:rFonts w:ascii="Times New Roman" w:hAnsi="Times New Roman"/>
          <w:iCs/>
          <w:sz w:val="20"/>
          <w:szCs w:val="20"/>
        </w:rPr>
        <w:t xml:space="preserve">following description </w:t>
      </w:r>
      <w:r>
        <w:rPr>
          <w:rFonts w:hint="eastAsia" w:ascii="Times New Roman" w:hAnsi="Times New Roman"/>
          <w:iCs/>
          <w:sz w:val="20"/>
          <w:szCs w:val="20"/>
        </w:rPr>
        <w:t xml:space="preserve">is related to </w:t>
      </w:r>
      <w:r>
        <w:rPr>
          <w:rFonts w:ascii="Times New Roman" w:hAnsi="Times New Roman"/>
          <w:iCs/>
          <w:sz w:val="20"/>
          <w:szCs w:val="20"/>
        </w:rPr>
        <w:t>FDM-2a and FDM-2b for M-TRP PUSCH transmission</w:t>
      </w:r>
      <w:r>
        <w:rPr>
          <w:rFonts w:hint="eastAsia" w:ascii="Times New Roman" w:hAnsi="Times New Roman"/>
          <w:color w:val="000000"/>
          <w:kern w:val="2"/>
          <w:sz w:val="20"/>
          <w:szCs w:val="20"/>
        </w:rPr>
        <w:t xml:space="preserve"> [5]</w:t>
      </w:r>
      <w:r>
        <w:rPr>
          <w:rFonts w:ascii="Times New Roman" w:hAnsi="Times New Roman"/>
          <w:iCs/>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rPr>
                <w:rFonts w:ascii="Times New Roman" w:hAnsi="Times New Roman"/>
                <w:color w:val="000000"/>
                <w:sz w:val="20"/>
                <w:szCs w:val="20"/>
              </w:rPr>
            </w:pPr>
            <w:r>
              <w:rPr>
                <w:rFonts w:ascii="Times New Roman" w:hAnsi="Times New Roman"/>
                <w:color w:val="000000"/>
                <w:kern w:val="2"/>
                <w:sz w:val="20"/>
                <w:szCs w:val="20"/>
              </w:rPr>
              <w:t xml:space="preserve">For a UE configured by the higher layer parameter </w:t>
            </w:r>
            <w:r>
              <w:rPr>
                <w:rFonts w:ascii="Times New Roman" w:hAnsi="Times New Roman"/>
                <w:i/>
                <w:iCs/>
                <w:color w:val="000000"/>
                <w:kern w:val="2"/>
                <w:sz w:val="20"/>
                <w:szCs w:val="20"/>
              </w:rPr>
              <w:t>repetitionScheme</w:t>
            </w:r>
            <w:r>
              <w:rPr>
                <w:rFonts w:ascii="Times New Roman" w:hAnsi="Times New Roman"/>
                <w:color w:val="000000"/>
                <w:kern w:val="2"/>
                <w:sz w:val="20"/>
                <w:szCs w:val="20"/>
              </w:rPr>
              <w:t xml:space="preserve"> set to </w:t>
            </w:r>
            <w:r>
              <w:rPr>
                <w:rFonts w:ascii="Times New Roman" w:hAnsi="Times New Roman"/>
                <w:color w:val="000000"/>
                <w:sz w:val="20"/>
                <w:szCs w:val="20"/>
              </w:rPr>
              <w:t>'fdmSchemeA</w:t>
            </w:r>
            <w:r>
              <w:rPr>
                <w:rFonts w:ascii="Times New Roman" w:hAnsi="Times New Roman"/>
                <w:i/>
                <w:color w:val="000000"/>
                <w:sz w:val="20"/>
                <w:szCs w:val="20"/>
              </w:rPr>
              <w:t xml:space="preserve">' or </w:t>
            </w:r>
            <w:r>
              <w:rPr>
                <w:rFonts w:ascii="Times New Roman" w:hAnsi="Times New Roman"/>
                <w:color w:val="000000"/>
                <w:sz w:val="20"/>
                <w:szCs w:val="20"/>
              </w:rPr>
              <w:t>'fdmSchemeB</w:t>
            </w:r>
            <w:r>
              <w:rPr>
                <w:rFonts w:ascii="Times New Roman" w:hAnsi="Times New Roman"/>
                <w:i/>
                <w:color w:val="000000"/>
                <w:sz w:val="20"/>
                <w:szCs w:val="20"/>
              </w:rPr>
              <w:t xml:space="preserve">', and </w:t>
            </w:r>
            <w:r>
              <w:rPr>
                <w:rFonts w:ascii="Times New Roman" w:hAnsi="Times New Roman"/>
                <w:color w:val="000000"/>
                <w:sz w:val="20"/>
                <w:szCs w:val="20"/>
              </w:rPr>
              <w:t xml:space="preserve">when </w:t>
            </w:r>
            <w:r>
              <w:rPr>
                <w:rFonts w:ascii="Times New Roman" w:hAnsi="Times New Roman"/>
                <w:color w:val="000000"/>
                <w:kern w:val="2"/>
                <w:sz w:val="20"/>
                <w:szCs w:val="20"/>
              </w:rPr>
              <w:t>the</w:t>
            </w:r>
            <w:r>
              <w:rPr>
                <w:rFonts w:ascii="Times New Roman" w:hAnsi="Times New Roman"/>
                <w:sz w:val="20"/>
                <w:szCs w:val="20"/>
              </w:rPr>
              <w:t xml:space="preserve"> UE is indicated with two TCI states in a </w:t>
            </w:r>
            <w:r>
              <w:rPr>
                <w:rFonts w:ascii="Times New Roman" w:hAnsi="Times New Roman"/>
                <w:color w:val="000000"/>
                <w:sz w:val="20"/>
                <w:szCs w:val="20"/>
              </w:rPr>
              <w:t xml:space="preserve">codepoint of the DCI field </w:t>
            </w:r>
            <w:r>
              <w:rPr>
                <w:rFonts w:ascii="Times New Roman" w:hAnsi="Times New Roman"/>
                <w:i/>
                <w:color w:val="000000"/>
                <w:sz w:val="20"/>
                <w:szCs w:val="20"/>
              </w:rPr>
              <w:t xml:space="preserve">'Transmission Configuration Indication' </w:t>
            </w:r>
            <w:r>
              <w:rPr>
                <w:rFonts w:ascii="Times New Roman" w:hAnsi="Times New Roman"/>
                <w:color w:val="000000"/>
                <w:sz w:val="20"/>
                <w:szCs w:val="20"/>
              </w:rPr>
              <w:t>and DM-RS port(s) within one CDM group in the DCI field '</w:t>
            </w:r>
            <w:r>
              <w:rPr>
                <w:rFonts w:ascii="Times New Roman" w:hAnsi="Times New Roman"/>
                <w:i/>
                <w:color w:val="000000"/>
                <w:sz w:val="20"/>
                <w:szCs w:val="20"/>
              </w:rPr>
              <w:t>Antenna Port(s)</w:t>
            </w:r>
            <w:r>
              <w:rPr>
                <w:rFonts w:ascii="Times New Roman" w:hAnsi="Times New Roman"/>
                <w:color w:val="000000"/>
                <w:sz w:val="20"/>
                <w:szCs w:val="20"/>
              </w:rPr>
              <w:t xml:space="preserve">', </w:t>
            </w:r>
          </w:p>
          <w:p>
            <w:pPr>
              <w:pStyle w:val="85"/>
              <w:rPr>
                <w:rFonts w:ascii="Times New Roman" w:hAnsi="Times New Roman"/>
                <w:sz w:val="20"/>
                <w:szCs w:val="20"/>
              </w:rPr>
            </w:pPr>
            <w:r>
              <w:rPr>
                <w:rFonts w:ascii="Times New Roman" w:hAnsi="Times New Roman"/>
                <w:color w:val="000000"/>
                <w:sz w:val="20"/>
                <w:szCs w:val="20"/>
              </w:rPr>
              <w:t>-</w:t>
            </w:r>
            <w:r>
              <w:rPr>
                <w:rFonts w:ascii="Times New Roman" w:hAnsi="Times New Roman"/>
                <w:color w:val="000000"/>
                <w:sz w:val="20"/>
                <w:szCs w:val="20"/>
              </w:rPr>
              <w:tab/>
            </w:r>
            <w:r>
              <w:rPr>
                <w:rFonts w:ascii="Times New Roman" w:hAnsi="Times New Roman"/>
                <w:color w:val="000000"/>
                <w:sz w:val="20"/>
                <w:szCs w:val="20"/>
              </w:rPr>
              <w:t xml:space="preserve">If </w:t>
            </w:r>
            <w:r>
              <w:rPr>
                <w:rFonts w:ascii="Times New Roman" w:hAnsi="Times New Roman"/>
                <w:position w:val="-10"/>
                <w:sz w:val="20"/>
                <w:szCs w:val="20"/>
              </w:rPr>
              <w:object>
                <v:shape id="_x0000_i1025" o:spt="75" type="#_x0000_t75" style="height:14.4pt;width:28.8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ascii="Times New Roman" w:hAnsi="Times New Roman"/>
                <w:color w:val="000000"/>
                <w:sz w:val="20"/>
                <w:szCs w:val="20"/>
              </w:rPr>
              <w:t xml:space="preserve"> is determined as "wideband", the </w:t>
            </w:r>
            <w:r>
              <w:rPr>
                <w:rFonts w:ascii="Times New Roman" w:hAnsi="Times New Roman"/>
                <w:sz w:val="20"/>
                <w:szCs w:val="20"/>
              </w:rPr>
              <w:t xml:space="preserve">first </w:t>
            </w:r>
            <m:oMath>
              <m:d>
                <m:dPr>
                  <m:begChr m:val="⌈"/>
                  <m:endChr m:val="⌉"/>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ctrlPr>
                            <w:rPr>
                              <w:rFonts w:ascii="Cambria Math" w:hAnsi="Cambria Math"/>
                              <w:i/>
                              <w:sz w:val="20"/>
                              <w:szCs w:val="20"/>
                            </w:rPr>
                          </m:ctrlPr>
                        </m:e>
                        <m:sub>
                          <m:r>
                            <w:rPr>
                              <w:rFonts w:ascii="Cambria Math" w:hAnsi="Cambria Math"/>
                              <w:sz w:val="20"/>
                              <w:szCs w:val="20"/>
                            </w:rPr>
                            <m:t>PRB</m:t>
                          </m:r>
                          <m:ctrlPr>
                            <w:rPr>
                              <w:rFonts w:ascii="Cambria Math" w:hAnsi="Cambria Math"/>
                              <w:i/>
                              <w:sz w:val="20"/>
                              <w:szCs w:val="20"/>
                            </w:rPr>
                          </m:ctrlPr>
                        </m:sub>
                      </m:sSub>
                      <m:ctrlPr>
                        <w:rPr>
                          <w:rFonts w:ascii="Cambria Math" w:hAnsi="Cambria Math"/>
                          <w:i/>
                          <w:sz w:val="20"/>
                          <w:szCs w:val="20"/>
                        </w:rPr>
                      </m:ctrlPr>
                    </m:num>
                    <m:den>
                      <m:r>
                        <w:rPr>
                          <w:rFonts w:ascii="Cambria Math" w:hAnsi="Cambria Math"/>
                          <w:sz w:val="20"/>
                          <w:szCs w:val="20"/>
                        </w:rPr>
                        <m:t>2</m:t>
                      </m:r>
                      <m:ctrlPr>
                        <w:rPr>
                          <w:rFonts w:ascii="Cambria Math" w:hAnsi="Cambria Math"/>
                          <w:i/>
                          <w:sz w:val="20"/>
                          <w:szCs w:val="20"/>
                        </w:rPr>
                      </m:ctrlPr>
                    </m:den>
                  </m:f>
                  <m:ctrlPr>
                    <w:rPr>
                      <w:rFonts w:ascii="Cambria Math" w:hAnsi="Cambria Math"/>
                      <w:i/>
                      <w:sz w:val="20"/>
                      <w:szCs w:val="20"/>
                    </w:rPr>
                  </m:ctrlPr>
                </m:e>
              </m:d>
            </m:oMath>
            <w:r>
              <w:rPr>
                <w:rFonts w:ascii="Times New Roman" w:hAnsi="Times New Roman"/>
                <w:sz w:val="20"/>
                <w:szCs w:val="20"/>
              </w:rPr>
              <w:t xml:space="preserve"> PRBs are assigned to the first TCI state and the remaining </w:t>
            </w:r>
            <m:oMath>
              <m:d>
                <m:dPr>
                  <m:begChr m:val="⌊"/>
                  <m:endChr m:val="⌋"/>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ctrlPr>
                            <w:rPr>
                              <w:rFonts w:ascii="Cambria Math" w:hAnsi="Cambria Math"/>
                              <w:i/>
                              <w:sz w:val="20"/>
                              <w:szCs w:val="20"/>
                            </w:rPr>
                          </m:ctrlPr>
                        </m:e>
                        <m:sub>
                          <m:r>
                            <w:rPr>
                              <w:rFonts w:ascii="Cambria Math" w:hAnsi="Cambria Math"/>
                              <w:sz w:val="20"/>
                              <w:szCs w:val="20"/>
                            </w:rPr>
                            <m:t>PRB</m:t>
                          </m:r>
                          <m:ctrlPr>
                            <w:rPr>
                              <w:rFonts w:ascii="Cambria Math" w:hAnsi="Cambria Math"/>
                              <w:i/>
                              <w:sz w:val="20"/>
                              <w:szCs w:val="20"/>
                            </w:rPr>
                          </m:ctrlPr>
                        </m:sub>
                      </m:sSub>
                      <m:ctrlPr>
                        <w:rPr>
                          <w:rFonts w:ascii="Cambria Math" w:hAnsi="Cambria Math"/>
                          <w:i/>
                          <w:sz w:val="20"/>
                          <w:szCs w:val="20"/>
                        </w:rPr>
                      </m:ctrlPr>
                    </m:num>
                    <m:den>
                      <m:r>
                        <w:rPr>
                          <w:rFonts w:ascii="Cambria Math" w:hAnsi="Cambria Math"/>
                          <w:sz w:val="20"/>
                          <w:szCs w:val="20"/>
                        </w:rPr>
                        <m:t>2</m:t>
                      </m:r>
                      <m:ctrlPr>
                        <w:rPr>
                          <w:rFonts w:ascii="Cambria Math" w:hAnsi="Cambria Math"/>
                          <w:i/>
                          <w:sz w:val="20"/>
                          <w:szCs w:val="20"/>
                        </w:rPr>
                      </m:ctrlPr>
                    </m:den>
                  </m:f>
                  <m:ctrlPr>
                    <w:rPr>
                      <w:rFonts w:ascii="Cambria Math" w:hAnsi="Cambria Math"/>
                      <w:i/>
                      <w:sz w:val="20"/>
                      <w:szCs w:val="20"/>
                    </w:rPr>
                  </m:ctrlPr>
                </m:e>
              </m:d>
            </m:oMath>
            <w:r>
              <w:rPr>
                <w:rFonts w:ascii="Times New Roman" w:hAnsi="Times New Roman"/>
                <w:sz w:val="20"/>
                <w:szCs w:val="20"/>
              </w:rPr>
              <w:t xml:space="preserve"> PRBs are assigned to the second TCI state, </w:t>
            </w:r>
            <w:r>
              <w:rPr>
                <w:rFonts w:ascii="Times New Roman" w:hAnsi="Times New Roman"/>
                <w:sz w:val="20"/>
                <w:szCs w:val="20"/>
                <w:lang w:eastAsia="ko-KR"/>
              </w:rPr>
              <w:t xml:space="preserve">where </w:t>
            </w:r>
            <m:oMath>
              <m:sSub>
                <m:sSubPr>
                  <m:ctrlPr>
                    <w:rPr>
                      <w:rFonts w:ascii="Cambria Math" w:hAnsi="Cambria Math"/>
                      <w:i/>
                      <w:sz w:val="20"/>
                      <w:szCs w:val="20"/>
                    </w:rPr>
                  </m:ctrlPr>
                </m:sSubPr>
                <m:e>
                  <m:r>
                    <w:rPr>
                      <w:rFonts w:ascii="Cambria Math" w:hAnsi="Cambria Math"/>
                      <w:sz w:val="20"/>
                      <w:szCs w:val="20"/>
                    </w:rPr>
                    <m:t>n</m:t>
                  </m:r>
                  <m:ctrlPr>
                    <w:rPr>
                      <w:rFonts w:ascii="Cambria Math" w:hAnsi="Cambria Math"/>
                      <w:i/>
                      <w:sz w:val="20"/>
                      <w:szCs w:val="20"/>
                    </w:rPr>
                  </m:ctrlPr>
                </m:e>
                <m:sub>
                  <m:r>
                    <w:rPr>
                      <w:rFonts w:ascii="Cambria Math" w:hAnsi="Cambria Math"/>
                      <w:sz w:val="20"/>
                      <w:szCs w:val="20"/>
                    </w:rPr>
                    <m:t>PRB</m:t>
                  </m:r>
                  <m:ctrlPr>
                    <w:rPr>
                      <w:rFonts w:ascii="Cambria Math" w:hAnsi="Cambria Math"/>
                      <w:i/>
                      <w:sz w:val="20"/>
                      <w:szCs w:val="20"/>
                    </w:rPr>
                  </m:ctrlPr>
                </m:sub>
              </m:sSub>
              <m:r>
                <w:rPr>
                  <w:rFonts w:ascii="Cambria Math" w:hAnsi="Cambria Math"/>
                  <w:sz w:val="20"/>
                  <w:szCs w:val="20"/>
                </w:rPr>
                <m:t xml:space="preserve"> </m:t>
              </m:r>
            </m:oMath>
            <w:r>
              <w:rPr>
                <w:rFonts w:ascii="Times New Roman" w:hAnsi="Times New Roman"/>
                <w:sz w:val="20"/>
                <w:szCs w:val="20"/>
                <w:lang w:eastAsia="ko-KR"/>
              </w:rPr>
              <w:t xml:space="preserve">is the </w:t>
            </w:r>
            <w:r>
              <w:rPr>
                <w:rFonts w:ascii="Times New Roman" w:hAnsi="Times New Roman"/>
                <w:sz w:val="20"/>
                <w:szCs w:val="20"/>
              </w:rPr>
              <w:t>total number of allocated PRBs</w:t>
            </w:r>
            <w:r>
              <w:rPr>
                <w:rFonts w:ascii="Times New Roman" w:hAnsi="Times New Roman"/>
                <w:sz w:val="20"/>
                <w:szCs w:val="20"/>
                <w:lang w:eastAsia="ko-KR"/>
              </w:rPr>
              <w:t xml:space="preserve"> </w:t>
            </w:r>
            <w:r>
              <w:rPr>
                <w:rFonts w:ascii="Times New Roman" w:hAnsi="Times New Roman"/>
                <w:sz w:val="20"/>
                <w:szCs w:val="20"/>
              </w:rPr>
              <w:t xml:space="preserve">for the UE. </w:t>
            </w:r>
          </w:p>
          <w:p>
            <w:pPr>
              <w:pStyle w:val="85"/>
              <w:rPr>
                <w:rFonts w:ascii="Times New Roman" w:hAnsi="Times New Roman"/>
                <w:sz w:val="20"/>
                <w:szCs w:val="20"/>
              </w:rPr>
            </w:pPr>
            <w:r>
              <w:rPr>
                <w:rFonts w:ascii="Times New Roman" w:hAnsi="Times New Roman"/>
                <w:color w:val="000000"/>
                <w:sz w:val="20"/>
                <w:szCs w:val="20"/>
              </w:rPr>
              <w:t>-</w:t>
            </w:r>
            <w:r>
              <w:rPr>
                <w:rFonts w:ascii="Times New Roman" w:hAnsi="Times New Roman"/>
                <w:color w:val="000000"/>
                <w:sz w:val="20"/>
                <w:szCs w:val="20"/>
              </w:rPr>
              <w:tab/>
            </w:r>
            <w:r>
              <w:rPr>
                <w:rFonts w:ascii="Times New Roman" w:hAnsi="Times New Roman"/>
                <w:color w:val="000000"/>
                <w:sz w:val="20"/>
                <w:szCs w:val="20"/>
              </w:rPr>
              <w:t xml:space="preserve">If </w:t>
            </w:r>
            <w:r>
              <w:rPr>
                <w:rFonts w:ascii="Times New Roman" w:hAnsi="Times New Roman"/>
                <w:color w:val="000000"/>
                <w:position w:val="-10"/>
                <w:sz w:val="20"/>
                <w:szCs w:val="20"/>
              </w:rPr>
              <w:object>
                <v:shape id="_x0000_i1026" o:spt="75" type="#_x0000_t75" style="height:14.4pt;width:28.8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3">
                  <o:LockedField>false</o:LockedField>
                </o:OLEObject>
              </w:object>
            </w:r>
            <w:r>
              <w:rPr>
                <w:rFonts w:ascii="Times New Roman" w:hAnsi="Times New Roman"/>
                <w:color w:val="000000"/>
                <w:sz w:val="20"/>
                <w:szCs w:val="20"/>
              </w:rPr>
              <w:t xml:space="preserve"> is determined as one of the values among {2, 4}, </w:t>
            </w:r>
            <w:r>
              <w:rPr>
                <w:rFonts w:ascii="Times New Roman" w:hAnsi="Times New Roman"/>
                <w:sz w:val="20"/>
                <w:szCs w:val="20"/>
              </w:rP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pPr>
              <w:pStyle w:val="85"/>
              <w:rPr>
                <w:rFonts w:ascii="Times New Roman" w:hAnsi="Times New Roman"/>
                <w:iCs/>
                <w:sz w:val="20"/>
                <w:szCs w:val="20"/>
              </w:rPr>
            </w:pPr>
            <w:r>
              <w:rPr>
                <w:rFonts w:ascii="Times New Roman" w:hAnsi="Times New Roman"/>
                <w:color w:val="000000"/>
                <w:sz w:val="20"/>
                <w:szCs w:val="20"/>
              </w:rPr>
              <w:t>-</w:t>
            </w:r>
            <w:r>
              <w:rPr>
                <w:rFonts w:ascii="Times New Roman" w:hAnsi="Times New Roman"/>
                <w:color w:val="000000"/>
                <w:sz w:val="20"/>
                <w:szCs w:val="20"/>
              </w:rPr>
              <w:tab/>
            </w:r>
            <w:r>
              <w:rPr>
                <w:rFonts w:ascii="Times New Roman" w:hAnsi="Times New Roman"/>
                <w:color w:val="000000"/>
                <w:sz w:val="20"/>
                <w:szCs w:val="20"/>
              </w:rPr>
              <w:t>The UE is not expected to receive more than two PDSCH transmission layers for each PDSCH transmission occasion.</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First and foremost, it can be noted </w:t>
      </w:r>
      <w:r>
        <w:rPr>
          <w:rFonts w:ascii="Times New Roman" w:hAnsi="Times New Roman"/>
          <w:sz w:val="20"/>
          <w:szCs w:val="20"/>
        </w:rPr>
        <w:t>that up</w:t>
      </w:r>
      <w:r>
        <w:rPr>
          <w:rFonts w:hint="eastAsia" w:ascii="Times New Roman" w:hAnsi="Times New Roman"/>
          <w:sz w:val="20"/>
          <w:szCs w:val="20"/>
        </w:rPr>
        <w:t xml:space="preserve"> to 2 layers for each PDSCH transmission occasion can be supported when single DCI based MTRP PDSCH transmission with FDM-2a and FDM-2b. Besides, it is worth to notice that single DCI based MTRP PDSCH transmission with FDM-2a and FDM-2b are considered for SU-MIMO only since Rel-16. Hence, it is sufficient to use Rel-15 type-1 DMRS ports with up to 8 ports </w:t>
      </w:r>
      <w:r>
        <w:rPr>
          <w:rFonts w:ascii="Times New Roman" w:hAnsi="Times New Roman"/>
          <w:sz w:val="20"/>
          <w:szCs w:val="20"/>
        </w:rPr>
        <w:t>and type</w:t>
      </w:r>
      <w:r>
        <w:rPr>
          <w:rFonts w:hint="eastAsia" w:ascii="Times New Roman" w:hAnsi="Times New Roman"/>
          <w:sz w:val="20"/>
          <w:szCs w:val="20"/>
        </w:rPr>
        <w:t xml:space="preserve"> 2 DMRS with up to 12 ports to perform single DCI based MTRP PDSCH transmission with FDM-2a and FDM-2b in SU-MIMO scenario. </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Based on the above, the use case of supporting Rel-18 increased DMRS ports for single DCI based MTRP PDSCH transmission with FDM-2a and FDM-2b is quite unclear, that also means there is no issue of orphan REs in this case.</w:t>
      </w:r>
    </w:p>
    <w:bookmarkEnd w:id="17"/>
    <w:bookmarkEnd w:id="19"/>
    <w:p>
      <w:pPr>
        <w:snapToGrid w:val="0"/>
        <w:spacing w:before="10" w:after="10" w:line="288" w:lineRule="auto"/>
        <w:jc w:val="both"/>
        <w:rPr>
          <w:rFonts w:ascii="Times New Roman" w:hAnsi="Times New Roman"/>
          <w:i/>
          <w:sz w:val="20"/>
          <w:szCs w:val="20"/>
        </w:rPr>
      </w:pPr>
      <w:r>
        <w:rPr>
          <w:rFonts w:hint="eastAsia" w:ascii="Times New Roman" w:hAnsi="Times New Roman"/>
          <w:b/>
          <w:i/>
          <w:sz w:val="20"/>
          <w:szCs w:val="20"/>
        </w:rPr>
        <w:t>Observation 3</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bCs/>
          <w:i/>
          <w:sz w:val="20"/>
          <w:szCs w:val="20"/>
        </w:rPr>
        <w:t>The use case of supporting Rel-18 increased DMRS ports for single DCI based MTRP PDSCH transmission with FDM-2a and FDM-2B is quite unclear. Subsequently, there is no issue of orphan REs in this case.</w:t>
      </w:r>
    </w:p>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DMRS enhancement for 8 Tx UL SU-MIMO</w:t>
      </w:r>
    </w:p>
    <w:p>
      <w:pPr>
        <w:pStyle w:val="3"/>
        <w:numPr>
          <w:ilvl w:val="1"/>
          <w:numId w:val="13"/>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Further enhancement on DMRS for more than 4 layers transmission</w:t>
      </w:r>
    </w:p>
    <w:p>
      <w:pPr>
        <w:snapToGrid w:val="0"/>
        <w:spacing w:before="180" w:beforeLines="50" w:after="180" w:afterLines="50" w:line="288" w:lineRule="auto"/>
        <w:jc w:val="both"/>
      </w:pPr>
      <w:bookmarkStart w:id="21" w:name="OLE_LINK7"/>
      <w:r>
        <w:rPr>
          <w:rFonts w:hint="eastAsia" w:ascii="Times New Roman" w:hAnsi="Times New Roman"/>
          <w:sz w:val="20"/>
          <w:szCs w:val="20"/>
        </w:rPr>
        <w:t xml:space="preserve">In RAN1#110bis-e meeting, the following agreement on DMRS enhancement for &gt;4 layers PUSCH </w:t>
      </w:r>
      <w:r>
        <w:rPr>
          <w:rFonts w:ascii="Times New Roman" w:hAnsi="Times New Roman"/>
          <w:sz w:val="20"/>
          <w:szCs w:val="20"/>
        </w:rPr>
        <w:t>was reached</w:t>
      </w:r>
      <w:r>
        <w:rPr>
          <w:rFonts w:hint="eastAsia" w:ascii="Times New Roman" w:hAnsi="Times New Roman"/>
          <w:sz w:val="20"/>
          <w:szCs w:val="20"/>
        </w:rPr>
        <w:t xml:space="preserve"> [3].</w:t>
      </w:r>
    </w:p>
    <w:bookmarkEnd w:id="21"/>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lang w:eastAsia="ja-JP"/>
              </w:rPr>
            </w:pPr>
            <w:r>
              <w:rPr>
                <w:rFonts w:ascii="Times New Roman" w:hAnsi="Times New Roman"/>
                <w:b/>
                <w:color w:val="000000"/>
                <w:sz w:val="20"/>
                <w:szCs w:val="20"/>
                <w:u w:val="single"/>
                <w:lang w:eastAsia="ja-JP"/>
              </w:rPr>
              <w:t>Agreement</w:t>
            </w:r>
          </w:p>
          <w:p>
            <w:pPr>
              <w:pStyle w:val="99"/>
              <w:spacing w:after="0"/>
              <w:ind w:firstLine="0" w:firstLineChars="0"/>
              <w:jc w:val="both"/>
              <w:rPr>
                <w:rFonts w:ascii="Times New Roman" w:hAnsi="Times New Roman" w:eastAsia="Malgun Gothic"/>
                <w:bCs/>
                <w:sz w:val="20"/>
                <w:szCs w:val="20"/>
                <w:lang w:eastAsia="ja-JP"/>
              </w:rPr>
            </w:pPr>
            <w:r>
              <w:rPr>
                <w:rFonts w:ascii="Times New Roman" w:hAnsi="Times New Roman" w:eastAsia="Malgun Gothic"/>
                <w:bCs/>
                <w:sz w:val="20"/>
                <w:szCs w:val="20"/>
                <w:lang w:eastAsia="ja-JP"/>
              </w:rPr>
              <w:t>For more than 4 layers SU-MIMO PUSCH, support</w:t>
            </w:r>
          </w:p>
          <w:p>
            <w:pPr>
              <w:pStyle w:val="99"/>
              <w:numPr>
                <w:ilvl w:val="0"/>
                <w:numId w:val="7"/>
              </w:numPr>
              <w:spacing w:after="0"/>
              <w:ind w:firstLine="400"/>
              <w:jc w:val="both"/>
              <w:rPr>
                <w:rFonts w:ascii="Times New Roman" w:hAnsi="Times New Roman" w:eastAsia="Malgun Gothic"/>
                <w:bCs/>
                <w:sz w:val="20"/>
                <w:szCs w:val="20"/>
                <w:lang w:eastAsia="ja-JP"/>
              </w:rPr>
            </w:pPr>
            <w:r>
              <w:rPr>
                <w:rFonts w:ascii="Times New Roman" w:hAnsi="Times New Roman" w:eastAsia="Malgun Gothic"/>
                <w:bCs/>
                <w:sz w:val="20"/>
                <w:szCs w:val="20"/>
                <w:lang w:eastAsia="ja-JP"/>
              </w:rPr>
              <w:t xml:space="preserve">Both Rel.15 Type 1/Type 2 DMRS ports and Rel.18 eType 1/eType 2 DMRS ports. </w:t>
            </w:r>
          </w:p>
          <w:p>
            <w:pPr>
              <w:pStyle w:val="99"/>
              <w:numPr>
                <w:ilvl w:val="1"/>
                <w:numId w:val="7"/>
              </w:numPr>
              <w:spacing w:after="0"/>
              <w:ind w:firstLine="400"/>
              <w:jc w:val="both"/>
              <w:rPr>
                <w:rFonts w:ascii="Times New Roman" w:hAnsi="Times New Roman" w:eastAsia="Malgun Gothic"/>
                <w:bCs/>
                <w:sz w:val="20"/>
                <w:szCs w:val="20"/>
                <w:lang w:eastAsia="ja-JP"/>
              </w:rPr>
            </w:pPr>
            <w:r>
              <w:rPr>
                <w:rFonts w:ascii="Times New Roman" w:hAnsi="Times New Roman" w:eastAsia="Malgun Gothic"/>
                <w:bCs/>
                <w:sz w:val="20"/>
                <w:szCs w:val="20"/>
                <w:lang w:eastAsia="ja-JP"/>
              </w:rPr>
              <w:t>For UE supporting Rel.18 eType 1/eType 2 DMRS ports, UE can be indicated with either of Rel.15 Type 1/Type 2 DMRS ports or Rel.18 eType 1/eType 2 DMRS ports.</w:t>
            </w:r>
          </w:p>
          <w:p>
            <w:pPr>
              <w:pStyle w:val="99"/>
              <w:numPr>
                <w:ilvl w:val="2"/>
                <w:numId w:val="7"/>
              </w:numPr>
              <w:spacing w:after="0"/>
              <w:ind w:firstLine="400"/>
              <w:jc w:val="both"/>
              <w:rPr>
                <w:rFonts w:ascii="Times New Roman" w:hAnsi="Times New Roman" w:eastAsia="Malgun Gothic"/>
                <w:bCs/>
                <w:sz w:val="20"/>
                <w:szCs w:val="20"/>
                <w:lang w:eastAsia="ja-JP"/>
              </w:rPr>
            </w:pPr>
            <w:r>
              <w:rPr>
                <w:rFonts w:ascii="Times New Roman" w:hAnsi="Times New Roman" w:eastAsia="Malgun Gothic"/>
                <w:bCs/>
                <w:sz w:val="20"/>
                <w:szCs w:val="20"/>
                <w:lang w:eastAsia="ja-JP"/>
              </w:rPr>
              <w:t>RRC based indication is supported as the baseline. FFS whether DCI based indication is further needed.</w:t>
            </w:r>
          </w:p>
          <w:p>
            <w:pPr>
              <w:pStyle w:val="99"/>
              <w:numPr>
                <w:ilvl w:val="1"/>
                <w:numId w:val="7"/>
              </w:numPr>
              <w:spacing w:after="0"/>
              <w:ind w:firstLine="400"/>
              <w:jc w:val="both"/>
            </w:pPr>
            <w:r>
              <w:rPr>
                <w:rFonts w:ascii="Times New Roman" w:hAnsi="Times New Roman" w:eastAsia="Malgun Gothic"/>
                <w:bCs/>
                <w:sz w:val="20"/>
                <w:szCs w:val="20"/>
                <w:lang w:eastAsia="ja-JP"/>
              </w:rPr>
              <w:t>For UE not supporting Rel.18 eType 1/eType 2 DMRS ports, UE can be indicated with Rel.15 Type 1/Type 2 DMRS ports only.</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the last meeting, it was agreed to support more than 4 layers transmission for PUSCH with Rel-18 DMRS ports. Given that up to 8/12 DMRS ports can be used by single symbol </w:t>
      </w:r>
      <w:r>
        <w:rPr>
          <w:rFonts w:hint="eastAsia" w:ascii="Times New Roman" w:hAnsi="Times New Roman"/>
          <w:sz w:val="20"/>
          <w:szCs w:val="20"/>
          <w:lang w:val="en-US" w:eastAsia="zh-CN"/>
        </w:rPr>
        <w:t>b</w:t>
      </w:r>
      <w:bookmarkStart w:id="31" w:name="_GoBack"/>
      <w:bookmarkEnd w:id="31"/>
      <w:r>
        <w:rPr>
          <w:rFonts w:hint="eastAsia" w:ascii="Times New Roman" w:hAnsi="Times New Roman"/>
          <w:sz w:val="20"/>
          <w:szCs w:val="20"/>
        </w:rPr>
        <w:t>ased Rel-18 DMRS and up to 16/24 DMRS ports can be used by double symbol based Rel-18 DMRS. That means that both single symbol and double symbol based Rel-18 DMRS ports can be used to facilitate this enhancement.</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Note that up to 24 ports are supported for double-symbol based Rel-18 DMRS ports, even if up to 8 DMRS ports are indicated to one UE, there are still lots of unused DMRS ports. Whether the other DMRS ports can be indicated to other UEs</w:t>
      </w:r>
      <w:r>
        <w:rPr>
          <w:rFonts w:ascii="Times New Roman" w:hAnsi="Times New Roman"/>
          <w:sz w:val="20"/>
          <w:szCs w:val="20"/>
        </w:rPr>
        <w:t>,</w:t>
      </w:r>
      <w:r>
        <w:rPr>
          <w:rFonts w:hint="eastAsia" w:ascii="Times New Roman" w:hAnsi="Times New Roman"/>
          <w:sz w:val="20"/>
          <w:szCs w:val="20"/>
        </w:rPr>
        <w:t xml:space="preserve"> i.e</w:t>
      </w:r>
      <w:r>
        <w:rPr>
          <w:rFonts w:ascii="Times New Roman" w:hAnsi="Times New Roman"/>
          <w:sz w:val="20"/>
          <w:szCs w:val="20"/>
        </w:rPr>
        <w:t>,</w:t>
      </w:r>
      <w:r>
        <w:rPr>
          <w:rFonts w:hint="eastAsia" w:ascii="Times New Roman" w:hAnsi="Times New Roman"/>
          <w:sz w:val="20"/>
          <w:szCs w:val="20"/>
        </w:rPr>
        <w:t xml:space="preserve"> MU-MIMO, can be further </w:t>
      </w:r>
      <w:r>
        <w:rPr>
          <w:rFonts w:ascii="Times New Roman" w:hAnsi="Times New Roman"/>
          <w:sz w:val="20"/>
          <w:szCs w:val="20"/>
        </w:rPr>
        <w:t>studied.</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If the maxLength is configured to 2 in the RRC singling, more than 4 layers transmission can be supported for both Rel-15 or Rel-18 DMRS. Considering the performance loss of Rel-18 DMRS in the larger delay spread scenario, if there is no other co-scheduled UEs, a total number of up to 8 DMRS ports can be indicated and then the Rel-18 DMRS can be switched to Rel-15 DMRS by DCI indication.</w:t>
      </w:r>
    </w:p>
    <w:p>
      <w:pPr>
        <w:snapToGrid w:val="0"/>
        <w:spacing w:before="180" w:beforeLines="50" w:after="180" w:afterLines="50" w:line="288" w:lineRule="auto"/>
        <w:jc w:val="both"/>
        <w:rPr>
          <w:rFonts w:ascii="Times New Roman" w:hAnsi="Times New Roman"/>
          <w:sz w:val="20"/>
          <w:szCs w:val="20"/>
        </w:rPr>
      </w:pPr>
      <w:bookmarkStart w:id="22" w:name="OLE_LINK26"/>
      <w:r>
        <w:rPr>
          <w:rFonts w:hint="eastAsia" w:ascii="Times New Roman" w:hAnsi="Times New Roman"/>
          <w:sz w:val="20"/>
          <w:szCs w:val="20"/>
        </w:rPr>
        <w:t xml:space="preserve">For PUSCH transmission, the rank number is indicated by SRI field for non-codebook based uplink transmission and TPMI field for codebook based uplink transmission. For rank 1/2/3/4 uplink transmission separate tables are used for the indication of DMRS ports. Hence similar method should be used for rank 5/6/7/8. Separate tables for the DMRS indication can introduce less overhead than a combined table for rank 5/6/7/8. </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Rel-15 PUSCH transmission, the DMRS ports can be indicated as shown in table 3/4/5/6.</w:t>
      </w:r>
    </w:p>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Table 3</w:t>
      </w:r>
      <w:r>
        <w:rPr>
          <w:rFonts w:ascii="Times New Roman" w:hAnsi="Times New Roman"/>
          <w:b w:val="0"/>
          <w:bCs/>
          <w:lang w:val="en-US" w:eastAsia="zh-CN"/>
        </w:rPr>
        <w:t xml:space="preserve"> Antenna port(s), dmrs-Type=1, maxLength=2, rank = 5</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4216"/>
        <w:gridCol w:w="1433"/>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0</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0-4</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r>
    </w:tbl>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Table 4</w:t>
      </w:r>
      <w:r>
        <w:rPr>
          <w:rFonts w:ascii="Times New Roman" w:hAnsi="Times New Roman"/>
          <w:b w:val="0"/>
          <w:bCs/>
          <w:lang w:val="en-US" w:eastAsia="zh-CN"/>
        </w:rPr>
        <w:t xml:space="preserve"> Antenna port(s), dmrs-Type=1, maxLength=2, rank = 6</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4216"/>
        <w:gridCol w:w="1433"/>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0</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c>
          <w:tcPr>
            <w:tcW w:w="0" w:type="auto"/>
            <w:shd w:val="clear" w:color="auto" w:fill="auto"/>
            <w:vAlign w:val="center"/>
          </w:tcPr>
          <w:p>
            <w:pPr>
              <w:pStyle w:val="62"/>
              <w:rPr>
                <w:rFonts w:ascii="Times New Roman" w:hAnsi="Times New Roman"/>
                <w:sz w:val="20"/>
                <w:lang w:eastAsia="zh-CN"/>
              </w:rPr>
            </w:pPr>
            <w:r>
              <w:rPr>
                <w:rFonts w:ascii="Times New Roman" w:hAnsi="Times New Roman"/>
                <w:sz w:val="20"/>
              </w:rPr>
              <w:t>0,1,2,3,4,</w:t>
            </w:r>
            <w:r>
              <w:rPr>
                <w:rFonts w:hint="eastAsia" w:ascii="Times New Roman" w:hAnsi="Times New Roman"/>
                <w:sz w:val="20"/>
                <w:lang w:val="en-US" w:eastAsia="zh-CN"/>
              </w:rPr>
              <w:t>6</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r>
    </w:tbl>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Table 5</w:t>
      </w:r>
      <w:r>
        <w:rPr>
          <w:rFonts w:ascii="Times New Roman" w:hAnsi="Times New Roman"/>
          <w:b w:val="0"/>
          <w:bCs/>
          <w:lang w:val="en-US" w:eastAsia="zh-CN"/>
        </w:rPr>
        <w:t xml:space="preserve"> Antenna port(s), dmrs-Type=1, maxLength=2, rank = 7</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4216"/>
        <w:gridCol w:w="1433"/>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0</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0,1,2,3,4,5,6</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r>
    </w:tbl>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Table 6</w:t>
      </w:r>
      <w:r>
        <w:rPr>
          <w:rFonts w:ascii="Times New Roman" w:hAnsi="Times New Roman"/>
          <w:b w:val="0"/>
          <w:bCs/>
          <w:lang w:val="en-US" w:eastAsia="zh-CN"/>
        </w:rPr>
        <w:t xml:space="preserve"> Antenna port(s), dmrs-Type=1, maxLength=2, rank = 8</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4216"/>
        <w:gridCol w:w="1433"/>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0</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0,1,2,3,4,5,6,7</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r>
    </w:tbl>
    <w:p>
      <w:pPr>
        <w:snapToGrid w:val="0"/>
        <w:spacing w:before="10" w:after="10" w:line="288" w:lineRule="auto"/>
        <w:jc w:val="both"/>
        <w:rPr>
          <w:rFonts w:ascii="Times New Roman" w:hAnsi="Times New Roman"/>
          <w:iCs/>
          <w:sz w:val="20"/>
          <w:szCs w:val="20"/>
        </w:rPr>
      </w:pP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Rel-18 single symbol eType 1 DMRS, the DMRS ports can be indicated as shown in table 7/8/9/10.</w:t>
      </w:r>
    </w:p>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 xml:space="preserve">Table </w:t>
      </w:r>
      <w:r>
        <w:rPr>
          <w:rFonts w:hint="eastAsia" w:ascii="Times New Roman" w:hAnsi="Times New Roman"/>
          <w:lang w:val="en-US" w:eastAsia="zh-CN"/>
        </w:rPr>
        <w:t>7</w:t>
      </w:r>
      <w:r>
        <w:rPr>
          <w:rFonts w:ascii="Times New Roman" w:hAnsi="Times New Roman"/>
          <w:b w:val="0"/>
          <w:bCs/>
          <w:lang w:val="en-US" w:eastAsia="zh-CN"/>
        </w:rPr>
        <w:t xml:space="preserve"> Antenna port(s), dmrs-Type=1, maxLength=</w:t>
      </w:r>
      <w:r>
        <w:rPr>
          <w:rFonts w:hint="eastAsia" w:ascii="Times New Roman" w:hAnsi="Times New Roman"/>
          <w:b w:val="0"/>
          <w:bCs/>
          <w:lang w:val="en-US" w:eastAsia="zh-CN"/>
        </w:rPr>
        <w:t>1</w:t>
      </w:r>
      <w:r>
        <w:rPr>
          <w:rFonts w:ascii="Times New Roman" w:hAnsi="Times New Roman"/>
          <w:b w:val="0"/>
          <w:bCs/>
          <w:lang w:val="en-US" w:eastAsia="zh-CN"/>
        </w:rPr>
        <w:t>, rank = 5</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4216"/>
        <w:gridCol w:w="1433"/>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0</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c>
          <w:tcPr>
            <w:tcW w:w="0" w:type="auto"/>
            <w:shd w:val="clear" w:color="auto" w:fill="auto"/>
            <w:vAlign w:val="center"/>
          </w:tcPr>
          <w:p>
            <w:pPr>
              <w:pStyle w:val="62"/>
              <w:rPr>
                <w:rFonts w:ascii="Times New Roman" w:hAnsi="Times New Roman"/>
                <w:sz w:val="20"/>
                <w:lang w:val="en-US" w:eastAsia="zh-CN"/>
              </w:rPr>
            </w:pPr>
            <w:r>
              <w:rPr>
                <w:rFonts w:ascii="Times New Roman" w:hAnsi="Times New Roman"/>
                <w:sz w:val="20"/>
              </w:rPr>
              <w:t>0</w:t>
            </w:r>
            <w:r>
              <w:rPr>
                <w:rFonts w:hint="eastAsia" w:ascii="Times New Roman" w:hAnsi="Times New Roman"/>
                <w:sz w:val="20"/>
                <w:lang w:val="en-US" w:eastAsia="zh-CN"/>
              </w:rPr>
              <w:t>,1,2,3,8</w:t>
            </w:r>
          </w:p>
        </w:tc>
        <w:tc>
          <w:tcPr>
            <w:tcW w:w="0" w:type="auto"/>
            <w:shd w:val="clear" w:color="auto" w:fill="auto"/>
            <w:vAlign w:val="center"/>
          </w:tcPr>
          <w:p>
            <w:pPr>
              <w:pStyle w:val="62"/>
              <w:rPr>
                <w:rFonts w:ascii="Times New Roman" w:hAnsi="Times New Roman"/>
                <w:sz w:val="20"/>
                <w:lang w:eastAsia="zh-CN"/>
              </w:rPr>
            </w:pPr>
            <w:r>
              <w:rPr>
                <w:rFonts w:hint="eastAsia"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r>
    </w:tbl>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 xml:space="preserve">Table </w:t>
      </w:r>
      <w:r>
        <w:rPr>
          <w:rFonts w:hint="eastAsia" w:ascii="Times New Roman" w:hAnsi="Times New Roman"/>
          <w:lang w:val="en-US" w:eastAsia="zh-CN"/>
        </w:rPr>
        <w:t>8</w:t>
      </w:r>
      <w:r>
        <w:rPr>
          <w:rFonts w:ascii="Times New Roman" w:hAnsi="Times New Roman"/>
          <w:b w:val="0"/>
          <w:bCs/>
          <w:lang w:val="en-US" w:eastAsia="zh-CN"/>
        </w:rPr>
        <w:t xml:space="preserve"> Antenna port(s), dmrs-Type=1, maxLength=</w:t>
      </w:r>
      <w:r>
        <w:rPr>
          <w:rFonts w:hint="eastAsia" w:ascii="Times New Roman" w:hAnsi="Times New Roman"/>
          <w:b w:val="0"/>
          <w:bCs/>
          <w:lang w:val="en-US" w:eastAsia="zh-CN"/>
        </w:rPr>
        <w:t>1</w:t>
      </w:r>
      <w:r>
        <w:rPr>
          <w:rFonts w:ascii="Times New Roman" w:hAnsi="Times New Roman"/>
          <w:b w:val="0"/>
          <w:bCs/>
          <w:lang w:val="en-US" w:eastAsia="zh-CN"/>
        </w:rPr>
        <w:t>, rank = 6</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4216"/>
        <w:gridCol w:w="1433"/>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0</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c>
          <w:tcPr>
            <w:tcW w:w="0" w:type="auto"/>
            <w:shd w:val="clear" w:color="auto" w:fill="auto"/>
            <w:vAlign w:val="center"/>
          </w:tcPr>
          <w:p>
            <w:pPr>
              <w:pStyle w:val="62"/>
              <w:rPr>
                <w:rFonts w:ascii="Times New Roman" w:hAnsi="Times New Roman"/>
                <w:sz w:val="20"/>
                <w:lang w:val="en-US"/>
              </w:rPr>
            </w:pPr>
            <w:r>
              <w:rPr>
                <w:rFonts w:ascii="Times New Roman" w:hAnsi="Times New Roman"/>
                <w:sz w:val="20"/>
              </w:rPr>
              <w:t>0</w:t>
            </w:r>
            <w:r>
              <w:rPr>
                <w:rFonts w:hint="eastAsia" w:ascii="Times New Roman" w:hAnsi="Times New Roman"/>
                <w:sz w:val="20"/>
                <w:lang w:val="en-US" w:eastAsia="zh-CN"/>
              </w:rPr>
              <w:t>,1,2,3,8,10</w:t>
            </w:r>
          </w:p>
        </w:tc>
        <w:tc>
          <w:tcPr>
            <w:tcW w:w="0" w:type="auto"/>
            <w:shd w:val="clear" w:color="auto" w:fill="auto"/>
            <w:vAlign w:val="center"/>
          </w:tcPr>
          <w:p>
            <w:pPr>
              <w:pStyle w:val="62"/>
              <w:rPr>
                <w:rFonts w:ascii="Times New Roman" w:hAnsi="Times New Roman"/>
                <w:sz w:val="20"/>
                <w:lang w:eastAsia="zh-CN"/>
              </w:rPr>
            </w:pPr>
            <w:r>
              <w:rPr>
                <w:rFonts w:hint="eastAsia"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r>
    </w:tbl>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 xml:space="preserve">Table </w:t>
      </w:r>
      <w:r>
        <w:rPr>
          <w:rFonts w:hint="eastAsia" w:ascii="Times New Roman" w:hAnsi="Times New Roman"/>
          <w:lang w:val="en-US" w:eastAsia="zh-CN"/>
        </w:rPr>
        <w:t>9</w:t>
      </w:r>
      <w:r>
        <w:rPr>
          <w:rFonts w:ascii="Times New Roman" w:hAnsi="Times New Roman"/>
          <w:b w:val="0"/>
          <w:bCs/>
          <w:lang w:val="en-US" w:eastAsia="zh-CN"/>
        </w:rPr>
        <w:t xml:space="preserve"> Antenna port(s), dmrs-Type=1, maxLength=</w:t>
      </w:r>
      <w:r>
        <w:rPr>
          <w:rFonts w:hint="eastAsia" w:ascii="Times New Roman" w:hAnsi="Times New Roman"/>
          <w:b w:val="0"/>
          <w:bCs/>
          <w:lang w:val="en-US" w:eastAsia="zh-CN"/>
        </w:rPr>
        <w:t>1</w:t>
      </w:r>
      <w:r>
        <w:rPr>
          <w:rFonts w:ascii="Times New Roman" w:hAnsi="Times New Roman"/>
          <w:b w:val="0"/>
          <w:bCs/>
          <w:lang w:val="en-US" w:eastAsia="zh-CN"/>
        </w:rPr>
        <w:t>, rank = 7</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4216"/>
        <w:gridCol w:w="1433"/>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0</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c>
          <w:tcPr>
            <w:tcW w:w="0" w:type="auto"/>
            <w:shd w:val="clear" w:color="auto" w:fill="auto"/>
            <w:vAlign w:val="center"/>
          </w:tcPr>
          <w:p>
            <w:pPr>
              <w:pStyle w:val="62"/>
              <w:rPr>
                <w:rFonts w:ascii="Times New Roman" w:hAnsi="Times New Roman"/>
                <w:sz w:val="20"/>
                <w:lang w:val="en-US"/>
              </w:rPr>
            </w:pPr>
            <w:r>
              <w:rPr>
                <w:rFonts w:ascii="Times New Roman" w:hAnsi="Times New Roman"/>
                <w:sz w:val="20"/>
              </w:rPr>
              <w:t>0</w:t>
            </w:r>
            <w:r>
              <w:rPr>
                <w:rFonts w:hint="eastAsia" w:ascii="Times New Roman" w:hAnsi="Times New Roman"/>
                <w:sz w:val="20"/>
                <w:lang w:val="en-US" w:eastAsia="zh-CN"/>
              </w:rPr>
              <w:t>,1,2,3,8,9,10</w:t>
            </w:r>
          </w:p>
        </w:tc>
        <w:tc>
          <w:tcPr>
            <w:tcW w:w="0" w:type="auto"/>
            <w:shd w:val="clear" w:color="auto" w:fill="auto"/>
            <w:vAlign w:val="center"/>
          </w:tcPr>
          <w:p>
            <w:pPr>
              <w:pStyle w:val="62"/>
              <w:rPr>
                <w:rFonts w:ascii="Times New Roman" w:hAnsi="Times New Roman"/>
                <w:sz w:val="20"/>
                <w:lang w:eastAsia="zh-CN"/>
              </w:rPr>
            </w:pPr>
            <w:r>
              <w:rPr>
                <w:rFonts w:hint="eastAsia"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r>
    </w:tbl>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 xml:space="preserve">Table </w:t>
      </w:r>
      <w:r>
        <w:rPr>
          <w:rFonts w:hint="eastAsia" w:ascii="Times New Roman" w:hAnsi="Times New Roman"/>
          <w:lang w:val="en-US" w:eastAsia="zh-CN"/>
        </w:rPr>
        <w:t>10</w:t>
      </w:r>
      <w:r>
        <w:rPr>
          <w:rFonts w:ascii="Times New Roman" w:hAnsi="Times New Roman"/>
          <w:b w:val="0"/>
          <w:bCs/>
          <w:lang w:val="en-US" w:eastAsia="zh-CN"/>
        </w:rPr>
        <w:t xml:space="preserve"> Antenna port(s), dmrs-Type=1, maxLength=</w:t>
      </w:r>
      <w:r>
        <w:rPr>
          <w:rFonts w:hint="eastAsia" w:ascii="Times New Roman" w:hAnsi="Times New Roman"/>
          <w:b w:val="0"/>
          <w:bCs/>
          <w:lang w:val="en-US" w:eastAsia="zh-CN"/>
        </w:rPr>
        <w:t>1</w:t>
      </w:r>
      <w:r>
        <w:rPr>
          <w:rFonts w:ascii="Times New Roman" w:hAnsi="Times New Roman"/>
          <w:b w:val="0"/>
          <w:bCs/>
          <w:lang w:val="en-US" w:eastAsia="zh-CN"/>
        </w:rPr>
        <w:t>, rank = 8</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4216"/>
        <w:gridCol w:w="1566"/>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0</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c>
          <w:tcPr>
            <w:tcW w:w="0" w:type="auto"/>
            <w:shd w:val="clear" w:color="auto" w:fill="auto"/>
            <w:vAlign w:val="center"/>
          </w:tcPr>
          <w:p>
            <w:pPr>
              <w:pStyle w:val="62"/>
              <w:rPr>
                <w:rFonts w:ascii="Times New Roman" w:hAnsi="Times New Roman"/>
                <w:sz w:val="20"/>
                <w:lang w:val="en-US"/>
              </w:rPr>
            </w:pPr>
            <w:r>
              <w:rPr>
                <w:rFonts w:ascii="Times New Roman" w:hAnsi="Times New Roman"/>
                <w:sz w:val="20"/>
              </w:rPr>
              <w:t>0</w:t>
            </w:r>
            <w:r>
              <w:rPr>
                <w:rFonts w:hint="eastAsia" w:ascii="Times New Roman" w:hAnsi="Times New Roman"/>
                <w:sz w:val="20"/>
                <w:lang w:val="en-US" w:eastAsia="zh-CN"/>
              </w:rPr>
              <w:t>,1,2,3,8,9,10,11</w:t>
            </w:r>
          </w:p>
        </w:tc>
        <w:tc>
          <w:tcPr>
            <w:tcW w:w="0" w:type="auto"/>
            <w:shd w:val="clear" w:color="auto" w:fill="auto"/>
            <w:vAlign w:val="center"/>
          </w:tcPr>
          <w:p>
            <w:pPr>
              <w:pStyle w:val="62"/>
              <w:rPr>
                <w:rFonts w:ascii="Times New Roman" w:hAnsi="Times New Roman"/>
                <w:sz w:val="20"/>
                <w:lang w:eastAsia="zh-CN"/>
              </w:rPr>
            </w:pPr>
            <w:r>
              <w:rPr>
                <w:rFonts w:hint="eastAsia"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r>
    </w:tbl>
    <w:p>
      <w:pPr>
        <w:adjustRightInd w:val="0"/>
        <w:snapToGrid w:val="0"/>
        <w:spacing w:before="180" w:beforeLines="50" w:after="10" w:line="288" w:lineRule="auto"/>
        <w:rPr>
          <w:rFonts w:ascii="Times New Roman" w:hAnsi="Times New Roman"/>
          <w:sz w:val="20"/>
          <w:szCs w:val="20"/>
        </w:rPr>
      </w:pPr>
      <w:bookmarkStart w:id="23" w:name="OLE_LINK27"/>
      <w:r>
        <w:rPr>
          <w:rFonts w:hint="eastAsia" w:ascii="Times New Roman" w:hAnsi="Times New Roman"/>
          <w:b/>
          <w:i/>
          <w:sz w:val="20"/>
          <w:szCs w:val="20"/>
        </w:rPr>
        <w:t>Proposal 6</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i/>
          <w:sz w:val="20"/>
          <w:szCs w:val="20"/>
          <w:lang w:eastAsia="ja-JP"/>
        </w:rPr>
        <w:t xml:space="preserve">For &gt; 4 layers PUSCH, </w:t>
      </w:r>
      <w:r>
        <w:rPr>
          <w:rFonts w:hint="eastAsia" w:ascii="Times New Roman" w:hAnsi="Times New Roman"/>
          <w:i/>
          <w:sz w:val="20"/>
          <w:szCs w:val="20"/>
        </w:rPr>
        <w:t>support DCI based indication of the dynamic switching between Rel-15 DMRS ports or Rel-18 DMRS ports.</w:t>
      </w:r>
      <w:bookmarkEnd w:id="23"/>
    </w:p>
    <w:p>
      <w:pPr>
        <w:adjustRightInd w:val="0"/>
        <w:snapToGrid w:val="0"/>
        <w:spacing w:before="180" w:beforeLines="50" w:after="10" w:line="288" w:lineRule="auto"/>
        <w:rPr>
          <w:rFonts w:ascii="Times New Roman" w:hAnsi="Times New Roman"/>
          <w:sz w:val="20"/>
          <w:szCs w:val="20"/>
        </w:rPr>
      </w:pPr>
      <w:bookmarkStart w:id="24" w:name="OLE_LINK29"/>
      <w:r>
        <w:rPr>
          <w:rFonts w:hint="eastAsia" w:ascii="Times New Roman" w:hAnsi="Times New Roman"/>
          <w:b/>
          <w:i/>
          <w:sz w:val="20"/>
          <w:szCs w:val="20"/>
        </w:rPr>
        <w:t>Proposal 7</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i/>
          <w:sz w:val="20"/>
          <w:szCs w:val="20"/>
          <w:lang w:eastAsia="ja-JP"/>
        </w:rPr>
        <w:t xml:space="preserve">For &gt; 4 layers PUSCH, </w:t>
      </w:r>
      <w:r>
        <w:rPr>
          <w:rFonts w:hint="eastAsia" w:ascii="Times New Roman" w:hAnsi="Times New Roman"/>
          <w:i/>
          <w:sz w:val="20"/>
          <w:szCs w:val="20"/>
        </w:rPr>
        <w:t>support separate indication tables for rank 5/6/7/8.</w:t>
      </w:r>
    </w:p>
    <w:p>
      <w:pPr>
        <w:numPr>
          <w:ilvl w:val="0"/>
          <w:numId w:val="11"/>
        </w:numPr>
        <w:snapToGrid w:val="0"/>
        <w:spacing w:before="10" w:after="10" w:line="288" w:lineRule="auto"/>
        <w:jc w:val="both"/>
        <w:rPr>
          <w:rFonts w:ascii="Times New Roman" w:hAnsi="Times New Roman"/>
          <w:iCs/>
          <w:sz w:val="20"/>
          <w:szCs w:val="20"/>
        </w:rPr>
      </w:pPr>
      <w:r>
        <w:rPr>
          <w:rFonts w:hint="eastAsia" w:ascii="Times New Roman" w:hAnsi="Times New Roman"/>
          <w:i/>
          <w:sz w:val="20"/>
          <w:szCs w:val="20"/>
        </w:rPr>
        <w:t>FFS: whether</w:t>
      </w:r>
      <w:r>
        <w:rPr>
          <w:rFonts w:ascii="Times New Roman" w:hAnsi="Times New Roman"/>
          <w:i/>
          <w:sz w:val="20"/>
          <w:szCs w:val="20"/>
        </w:rPr>
        <w:t>/how</w:t>
      </w:r>
      <w:r>
        <w:rPr>
          <w:rFonts w:hint="eastAsia" w:ascii="Times New Roman" w:hAnsi="Times New Roman"/>
          <w:i/>
          <w:sz w:val="20"/>
          <w:szCs w:val="20"/>
        </w:rPr>
        <w:t xml:space="preserve"> to support that other DMRS ports can be scheduled to other UE</w:t>
      </w:r>
      <w:r>
        <w:rPr>
          <w:rFonts w:ascii="Times New Roman" w:hAnsi="Times New Roman"/>
          <w:i/>
          <w:sz w:val="20"/>
          <w:szCs w:val="20"/>
        </w:rPr>
        <w:t>s</w:t>
      </w:r>
      <w:r>
        <w:rPr>
          <w:rFonts w:hint="eastAsia" w:ascii="Times New Roman" w:hAnsi="Times New Roman"/>
          <w:i/>
          <w:sz w:val="20"/>
          <w:szCs w:val="20"/>
        </w:rPr>
        <w:t xml:space="preserve"> for double symbol based Rel-18 DMRS.</w:t>
      </w:r>
    </w:p>
    <w:bookmarkEnd w:id="22"/>
    <w:bookmarkEnd w:id="24"/>
    <w:p>
      <w:pPr>
        <w:pStyle w:val="3"/>
        <w:numPr>
          <w:ilvl w:val="1"/>
          <w:numId w:val="13"/>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Further enhancement on PTRS</w:t>
      </w:r>
    </w:p>
    <w:p>
      <w:pPr>
        <w:snapToGrid w:val="0"/>
        <w:spacing w:before="180" w:beforeLines="50" w:after="180" w:afterLines="50" w:line="288" w:lineRule="auto"/>
        <w:jc w:val="both"/>
      </w:pPr>
      <w:r>
        <w:rPr>
          <w:rFonts w:hint="eastAsia" w:ascii="Times New Roman" w:hAnsi="Times New Roman"/>
          <w:sz w:val="20"/>
          <w:szCs w:val="20"/>
        </w:rPr>
        <w:t>In RAN1#110 meeting, the following agreement on the indication of association between PTRS ports and Rel-18 DMRS ports</w:t>
      </w:r>
      <w:r>
        <w:rPr>
          <w:rFonts w:ascii="Times New Roman" w:hAnsi="Times New Roman"/>
          <w:sz w:val="20"/>
          <w:szCs w:val="20"/>
        </w:rPr>
        <w:t xml:space="preserve"> was reached</w:t>
      </w:r>
      <w:r>
        <w:rPr>
          <w:rFonts w:hint="eastAsia" w:ascii="Times New Roman" w:hAnsi="Times New Roman"/>
          <w:sz w:val="20"/>
          <w:szCs w:val="20"/>
        </w:rPr>
        <w:t xml:space="preserve">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lang w:eastAsia="ja-JP"/>
              </w:rPr>
            </w:pPr>
            <w:r>
              <w:rPr>
                <w:rFonts w:ascii="Times New Roman" w:hAnsi="Times New Roman"/>
                <w:b/>
                <w:color w:val="000000"/>
                <w:sz w:val="20"/>
                <w:szCs w:val="20"/>
                <w:u w:val="single"/>
                <w:lang w:eastAsia="ja-JP"/>
              </w:rPr>
              <w:t>Agreement</w:t>
            </w:r>
          </w:p>
          <w:p>
            <w:p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 xml:space="preserve">For support of more than 4 layers SU-MIMO PUSCH, study the following potential enhancements for PTRS-DMRS association. </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ja-JP"/>
              </w:rPr>
            </w:pPr>
            <w:r>
              <w:rPr>
                <w:rFonts w:ascii="Times New Roman" w:hAnsi="Times New Roman" w:eastAsia="宋体"/>
                <w:bCs/>
                <w:sz w:val="20"/>
                <w:szCs w:val="20"/>
                <w:lang w:eastAsia="ja-JP"/>
              </w:rPr>
              <w:t>Whether to support more than 2-port UL PTRS.</w:t>
            </w:r>
          </w:p>
          <w:p>
            <w:pPr>
              <w:numPr>
                <w:ilvl w:val="1"/>
                <w:numId w:val="2"/>
              </w:numPr>
              <w:overflowPunct w:val="0"/>
              <w:autoSpaceDE w:val="0"/>
              <w:autoSpaceDN w:val="0"/>
              <w:adjustRightInd w:val="0"/>
              <w:snapToGrid w:val="0"/>
              <w:spacing w:after="0" w:line="288" w:lineRule="auto"/>
              <w:jc w:val="both"/>
              <w:textAlignment w:val="baseline"/>
            </w:pPr>
            <w:r>
              <w:rPr>
                <w:rFonts w:ascii="Times New Roman" w:hAnsi="Times New Roman" w:eastAsia="宋体"/>
                <w:bCs/>
                <w:sz w:val="20"/>
                <w:szCs w:val="20"/>
                <w:lang w:eastAsia="ja-JP"/>
              </w:rPr>
              <w:t>Whether to increase the DCI size of PTRS-DMRS association field in DCI format 0_1/0_2.</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One issue is when up to 8 DMRS ports are supported for UL transmission, the association between DMRS ports and PTRS ports should also be enhanced, where the PTRS-DMRS association indication field should be increased. More precisely,</w:t>
      </w:r>
      <w:r>
        <w:rPr>
          <w:rFonts w:ascii="Times New Roman" w:hAnsi="Times New Roman"/>
          <w:sz w:val="20"/>
          <w:szCs w:val="20"/>
        </w:rPr>
        <w:t xml:space="preserve"> </w:t>
      </w:r>
      <w:r>
        <w:rPr>
          <w:rFonts w:hint="eastAsia" w:ascii="Times New Roman" w:hAnsi="Times New Roman"/>
          <w:sz w:val="20"/>
          <w:szCs w:val="20"/>
        </w:rPr>
        <w:t>for the case of 8 DMRS ports share one PTRS port, 3 bits in total are needed. For case of 4 DMRS ports share one PTRS port, 4 bits (2bits + 2bits) in total are needed. For case of 2 DMRS ports share one PTRS port, 4 bits (1bit + 1bit + 1bit + 1bit) in total are needed. Furthermore, two aspects should be considered as follows:</w:t>
      </w:r>
    </w:p>
    <w:p>
      <w:pPr>
        <w:numPr>
          <w:ilvl w:val="0"/>
          <w:numId w:val="14"/>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Aspect 1: Whether larger number of PTRS port should be supported. According to Rel-15, two DMRS ports share one PTRS port</w:t>
      </w:r>
      <w:r>
        <w:rPr>
          <w:rFonts w:ascii="Times New Roman" w:hAnsi="Times New Roman"/>
          <w:sz w:val="20"/>
          <w:szCs w:val="20"/>
        </w:rPr>
        <w:t>. I</w:t>
      </w:r>
      <w:r>
        <w:rPr>
          <w:rFonts w:hint="eastAsia" w:ascii="Times New Roman" w:hAnsi="Times New Roman"/>
          <w:sz w:val="20"/>
          <w:szCs w:val="20"/>
        </w:rPr>
        <w:t>f the rules are reused in Rel-18 and up to 8 DMRS ports are indicated to one UE, larger number of PTRS ports should be considered.</w:t>
      </w:r>
    </w:p>
    <w:p>
      <w:pPr>
        <w:numPr>
          <w:ilvl w:val="0"/>
          <w:numId w:val="14"/>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Aspect 2: Whether larger number of DMRS ports that share one PTRS port should be supported. In the case of up to 2 PTRS ports are supported, one PTRS port should be shared by 4 DMRS ports, and the one from the 4 DMRS ports should be indicated to associate with the PTRS port.</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More PTRS ports lead to more overhead for PTRS mapping, and will cause negative impact on the spectrum efficiency of PUSCH transmission. Note that the association may be related on the codebook design for more than 4 layers codebook</w:t>
      </w:r>
      <w:r>
        <w:rPr>
          <w:rFonts w:ascii="Times New Roman" w:hAnsi="Times New Roman"/>
          <w:sz w:val="20"/>
          <w:szCs w:val="20"/>
        </w:rPr>
        <w:t>-</w:t>
      </w:r>
      <w:r>
        <w:rPr>
          <w:rFonts w:hint="eastAsia" w:ascii="Times New Roman" w:hAnsi="Times New Roman"/>
          <w:sz w:val="20"/>
          <w:szCs w:val="20"/>
        </w:rPr>
        <w:t>based UL transmission or the SRS configuration for non</w:t>
      </w:r>
      <w:r>
        <w:rPr>
          <w:rFonts w:ascii="Times New Roman" w:hAnsi="Times New Roman"/>
          <w:sz w:val="20"/>
          <w:szCs w:val="20"/>
        </w:rPr>
        <w:t>-</w:t>
      </w:r>
      <w:r>
        <w:rPr>
          <w:rFonts w:hint="eastAsia" w:ascii="Times New Roman" w:hAnsi="Times New Roman"/>
          <w:sz w:val="20"/>
          <w:szCs w:val="20"/>
        </w:rPr>
        <w:t>codebook based UL transmission. Since now it may be hard to decide which one of Aspect</w:t>
      </w:r>
      <w:r>
        <w:rPr>
          <w:rFonts w:ascii="Times New Roman" w:hAnsi="Times New Roman"/>
          <w:sz w:val="20"/>
          <w:szCs w:val="20"/>
        </w:rPr>
        <w:t>-1 and Aspect-2</w:t>
      </w:r>
      <w:r>
        <w:rPr>
          <w:rFonts w:hint="eastAsia" w:ascii="Times New Roman" w:hAnsi="Times New Roman"/>
          <w:sz w:val="20"/>
          <w:szCs w:val="20"/>
        </w:rPr>
        <w:t xml:space="preserve"> is more reasonable. But when considering Rel-15 PTRS port, even for non-coherent codebook</w:t>
      </w:r>
      <w:r>
        <w:rPr>
          <w:rFonts w:ascii="Times New Roman" w:hAnsi="Times New Roman"/>
          <w:sz w:val="20"/>
          <w:szCs w:val="20"/>
        </w:rPr>
        <w:t>-</w:t>
      </w:r>
      <w:r>
        <w:rPr>
          <w:rFonts w:hint="eastAsia" w:ascii="Times New Roman" w:hAnsi="Times New Roman"/>
          <w:sz w:val="20"/>
          <w:szCs w:val="20"/>
        </w:rPr>
        <w:t>based uplink transmission, up to 2 PTRS ports are supported.</w:t>
      </w:r>
      <w:r>
        <w:rPr>
          <w:rFonts w:ascii="Times New Roman" w:hAnsi="Times New Roman"/>
          <w:sz w:val="20"/>
          <w:szCs w:val="20"/>
        </w:rPr>
        <w:t xml:space="preserve"> </w:t>
      </w:r>
      <w:r>
        <w:rPr>
          <w:rFonts w:hint="eastAsia" w:ascii="Times New Roman" w:hAnsi="Times New Roman"/>
          <w:sz w:val="20"/>
          <w:szCs w:val="20"/>
        </w:rPr>
        <w:t>Hence</w:t>
      </w:r>
      <w:r>
        <w:rPr>
          <w:rFonts w:ascii="Times New Roman" w:hAnsi="Times New Roman"/>
          <w:sz w:val="20"/>
          <w:szCs w:val="20"/>
        </w:rPr>
        <w:t>,</w:t>
      </w:r>
      <w:r>
        <w:rPr>
          <w:rFonts w:hint="eastAsia" w:ascii="Times New Roman" w:hAnsi="Times New Roman"/>
          <w:sz w:val="20"/>
          <w:szCs w:val="20"/>
        </w:rPr>
        <w:t xml:space="preserve"> in our view, this principle can be reused for PTRS that associated with more than 4 layers uplink transmission. Hence 2 PTRS ports are more preferred. </w:t>
      </w:r>
    </w:p>
    <w:p>
      <w:pPr>
        <w:snapToGrid w:val="0"/>
        <w:spacing w:before="180" w:beforeLines="50" w:after="0" w:line="288" w:lineRule="auto"/>
        <w:jc w:val="both"/>
        <w:rPr>
          <w:rFonts w:ascii="Times New Roman" w:hAnsi="Times New Roman"/>
          <w:i/>
          <w:sz w:val="20"/>
          <w:szCs w:val="20"/>
        </w:rPr>
      </w:pPr>
      <w:bookmarkStart w:id="25" w:name="OLE_LINK6"/>
      <w:r>
        <w:rPr>
          <w:rFonts w:hint="eastAsia" w:ascii="Times New Roman" w:hAnsi="Times New Roman"/>
          <w:b/>
          <w:i/>
          <w:sz w:val="20"/>
          <w:szCs w:val="20"/>
        </w:rPr>
        <w:t>Proposal 8</w:t>
      </w:r>
      <w:r>
        <w:rPr>
          <w:rFonts w:ascii="Times New Roman" w:hAnsi="Times New Roman"/>
          <w:b/>
          <w:i/>
          <w:sz w:val="20"/>
          <w:szCs w:val="20"/>
        </w:rPr>
        <w:t xml:space="preserve">: </w:t>
      </w:r>
      <w:r>
        <w:rPr>
          <w:rFonts w:hint="eastAsia" w:ascii="Times New Roman" w:hAnsi="Times New Roman"/>
          <w:i/>
          <w:sz w:val="20"/>
          <w:szCs w:val="20"/>
        </w:rPr>
        <w:t xml:space="preserve">More than 2 bits should be used for the DMRS port and PTRS port association indication for UL transmission with more than 4 </w:t>
      </w:r>
      <w:r>
        <w:rPr>
          <w:rFonts w:ascii="Times New Roman" w:hAnsi="Times New Roman"/>
          <w:i/>
          <w:sz w:val="20"/>
          <w:szCs w:val="20"/>
        </w:rPr>
        <w:t>layers.</w:t>
      </w:r>
      <w:r>
        <w:rPr>
          <w:rFonts w:hint="eastAsia" w:ascii="Times New Roman" w:hAnsi="Times New Roman"/>
          <w:i/>
          <w:sz w:val="20"/>
          <w:szCs w:val="20"/>
        </w:rPr>
        <w:t xml:space="preserve"> </w:t>
      </w:r>
    </w:p>
    <w:p>
      <w:pPr>
        <w:numPr>
          <w:ilvl w:val="0"/>
          <w:numId w:val="11"/>
        </w:numPr>
        <w:snapToGrid w:val="0"/>
        <w:spacing w:after="10" w:line="288" w:lineRule="auto"/>
        <w:ind w:left="839"/>
        <w:jc w:val="both"/>
        <w:rPr>
          <w:rFonts w:ascii="Times New Roman" w:hAnsi="Times New Roman"/>
          <w:i/>
          <w:sz w:val="20"/>
          <w:szCs w:val="20"/>
        </w:rPr>
      </w:pPr>
      <w:bookmarkStart w:id="26" w:name="OLE_LINK19"/>
      <w:r>
        <w:rPr>
          <w:rFonts w:hint="eastAsia" w:ascii="Times New Roman" w:hAnsi="Times New Roman"/>
          <w:i/>
          <w:sz w:val="20"/>
          <w:szCs w:val="20"/>
        </w:rPr>
        <w:t>Support 3 or 4 bits of the PTRS-DMRS association field in DCI.</w:t>
      </w:r>
    </w:p>
    <w:p>
      <w:pPr>
        <w:numPr>
          <w:ilvl w:val="0"/>
          <w:numId w:val="11"/>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Support 2 PTRS ports for up to 8 layers transmission.</w:t>
      </w:r>
    </w:p>
    <w:bookmarkEnd w:id="8"/>
    <w:bookmarkEnd w:id="9"/>
    <w:bookmarkEnd w:id="10"/>
    <w:bookmarkEnd w:id="25"/>
    <w:bookmarkEnd w:id="26"/>
    <w:p>
      <w:pPr>
        <w:pStyle w:val="2"/>
        <w:snapToGrid w:val="0"/>
        <w:spacing w:before="180" w:beforeLines="50" w:after="180" w:afterLines="50"/>
        <w:ind w:left="0" w:firstLine="0"/>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27" w:name="OLE_LINK11"/>
      <w:bookmarkStart w:id="28" w:name="OLE_LINK10"/>
      <w:r>
        <w:rPr>
          <w:rFonts w:ascii="Times New Roman" w:hAnsi="Times New Roman"/>
          <w:sz w:val="20"/>
          <w:szCs w:val="20"/>
          <w:lang w:val="en-GB"/>
        </w:rPr>
        <w:t xml:space="preserve">In this contribution, we provide </w:t>
      </w:r>
      <w:r>
        <w:rPr>
          <w:rFonts w:ascii="Times New Roman" w:hAnsi="Times New Roman"/>
          <w:sz w:val="20"/>
          <w:szCs w:val="20"/>
        </w:rPr>
        <w:t xml:space="preserve">our views to </w:t>
      </w:r>
      <w:r>
        <w:rPr>
          <w:rFonts w:hint="eastAsia" w:ascii="Times New Roman" w:hAnsi="Times New Roman"/>
          <w:sz w:val="20"/>
          <w:szCs w:val="20"/>
        </w:rPr>
        <w:t>support larger number of orthogonal DMRS ports</w:t>
      </w:r>
      <w:r>
        <w:rPr>
          <w:rFonts w:ascii="Times New Roman" w:hAnsi="Times New Roman"/>
          <w:i/>
          <w:iCs/>
          <w:sz w:val="20"/>
          <w:szCs w:val="20"/>
        </w:rPr>
        <w:t xml:space="preserve">. </w:t>
      </w:r>
      <w:r>
        <w:rPr>
          <w:rFonts w:ascii="Times New Roman" w:hAnsi="Times New Roman"/>
          <w:iCs/>
          <w:sz w:val="20"/>
          <w:szCs w:val="20"/>
        </w:rPr>
        <w:t xml:space="preserve">The proposals are given below. </w:t>
      </w:r>
    </w:p>
    <w:p>
      <w:pPr>
        <w:snapToGrid w:val="0"/>
        <w:spacing w:before="108" w:beforeLines="30" w:after="108" w:afterLines="30" w:line="288" w:lineRule="auto"/>
        <w:jc w:val="both"/>
        <w:rPr>
          <w:rFonts w:ascii="Times New Roman" w:hAnsi="Times New Roman"/>
          <w:bCs/>
          <w:i/>
          <w:sz w:val="20"/>
          <w:szCs w:val="20"/>
        </w:rPr>
      </w:pPr>
      <w:r>
        <w:rPr>
          <w:rFonts w:hint="eastAsia" w:ascii="Times New Roman" w:hAnsi="Times New Roman"/>
          <w:b/>
          <w:i/>
          <w:sz w:val="20"/>
          <w:szCs w:val="20"/>
        </w:rPr>
        <w:t>Observation 1</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bCs/>
          <w:i/>
          <w:sz w:val="20"/>
          <w:szCs w:val="20"/>
        </w:rPr>
        <w:t xml:space="preserve">In the large delay spread scenario, performance loss by length 4 FD-OCC (when compared with Rel-15 length 2 FD-OCC) is ever-present for both PDSCH DMRS and PUSCH DMRS </w:t>
      </w:r>
    </w:p>
    <w:p>
      <w:pPr>
        <w:snapToGrid w:val="0"/>
        <w:spacing w:before="108" w:beforeLines="30" w:after="108" w:afterLines="30" w:line="288" w:lineRule="auto"/>
        <w:jc w:val="both"/>
        <w:rPr>
          <w:rFonts w:ascii="Times New Roman" w:hAnsi="Times New Roman"/>
          <w:i/>
          <w:sz w:val="20"/>
          <w:szCs w:val="20"/>
        </w:rPr>
      </w:pPr>
      <w:r>
        <w:rPr>
          <w:rFonts w:hint="eastAsia" w:ascii="Times New Roman" w:hAnsi="Times New Roman"/>
          <w:b/>
          <w:i/>
          <w:sz w:val="20"/>
          <w:szCs w:val="20"/>
        </w:rPr>
        <w:t>Observation 2</w:t>
      </w:r>
      <w:r>
        <w:rPr>
          <w:rFonts w:ascii="Times New Roman" w:hAnsi="Times New Roman"/>
          <w:b/>
          <w:i/>
          <w:sz w:val="20"/>
          <w:szCs w:val="20"/>
        </w:rPr>
        <w:t xml:space="preserve">: </w:t>
      </w:r>
      <w:r>
        <w:rPr>
          <w:rFonts w:hint="eastAsia" w:ascii="Times New Roman" w:hAnsi="Times New Roman"/>
          <w:bCs/>
          <w:i/>
          <w:sz w:val="20"/>
          <w:szCs w:val="20"/>
        </w:rPr>
        <w:t xml:space="preserve">In the case of MU-MIMO, no more </w:t>
      </w:r>
      <w:r>
        <w:rPr>
          <w:rFonts w:hint="eastAsia" w:ascii="Times New Roman" w:hAnsi="Times New Roman"/>
          <w:i/>
          <w:sz w:val="20"/>
          <w:szCs w:val="20"/>
        </w:rPr>
        <w:t>restriction is needed for the scheduling PRBs of different UEs compared with the restriction for each individual UE.</w:t>
      </w:r>
    </w:p>
    <w:p>
      <w:pPr>
        <w:snapToGrid w:val="0"/>
        <w:spacing w:before="108" w:beforeLines="30" w:after="108" w:afterLines="30" w:line="288" w:lineRule="auto"/>
        <w:jc w:val="both"/>
        <w:rPr>
          <w:rFonts w:ascii="Times New Roman" w:hAnsi="Times New Roman"/>
          <w:i/>
          <w:sz w:val="20"/>
          <w:szCs w:val="20"/>
        </w:rPr>
      </w:pPr>
      <w:r>
        <w:rPr>
          <w:rFonts w:hint="eastAsia" w:ascii="Times New Roman" w:hAnsi="Times New Roman"/>
          <w:b/>
          <w:i/>
          <w:sz w:val="20"/>
          <w:szCs w:val="20"/>
        </w:rPr>
        <w:t>Observation 3</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bCs/>
          <w:i/>
          <w:sz w:val="20"/>
          <w:szCs w:val="20"/>
        </w:rPr>
        <w:t>The use case of supporting Rel-18 increased DMRS ports for single DCI based MTRP PDSCH transmission with FDM-2a and FDM-2B is quite unclear, and then there is no issue of orphan REs in this case.</w:t>
      </w:r>
    </w:p>
    <w:p>
      <w:pPr>
        <w:snapToGrid w:val="0"/>
        <w:spacing w:before="108" w:beforeLines="30" w:after="108" w:afterLines="30" w:line="288" w:lineRule="auto"/>
        <w:jc w:val="both"/>
        <w:rPr>
          <w:rFonts w:ascii="Times New Roman" w:hAnsi="Times New Roman"/>
          <w:bCs/>
          <w:i/>
          <w:sz w:val="20"/>
          <w:szCs w:val="20"/>
        </w:rPr>
      </w:pPr>
      <w:r>
        <w:rPr>
          <w:rFonts w:hint="eastAsia" w:ascii="Times New Roman" w:hAnsi="Times New Roman"/>
          <w:b/>
          <w:i/>
          <w:sz w:val="20"/>
          <w:szCs w:val="20"/>
        </w:rPr>
        <w:t xml:space="preserve">Proposal 1: </w:t>
      </w:r>
      <w:r>
        <w:rPr>
          <w:rFonts w:hint="eastAsia" w:ascii="Times New Roman" w:hAnsi="Times New Roman"/>
          <w:bCs/>
          <w:i/>
          <w:sz w:val="20"/>
          <w:szCs w:val="20"/>
        </w:rPr>
        <w:t>RAN1 shall strive to handle the performance degradation caused by length 4 FD-OCC in the large delay spread scenario.</w:t>
      </w:r>
    </w:p>
    <w:p>
      <w:pPr>
        <w:snapToGrid w:val="0"/>
        <w:spacing w:before="108" w:beforeLines="30" w:after="108" w:afterLines="30" w:line="288" w:lineRule="auto"/>
        <w:jc w:val="both"/>
        <w:rPr>
          <w:rFonts w:ascii="Times New Roman" w:hAnsi="Times New Roman"/>
          <w:bCs/>
          <w:i/>
          <w:sz w:val="20"/>
          <w:szCs w:val="20"/>
        </w:rPr>
      </w:pPr>
      <w:r>
        <w:rPr>
          <w:rFonts w:hint="eastAsia" w:ascii="Times New Roman" w:hAnsi="Times New Roman"/>
          <w:b/>
          <w:i/>
          <w:sz w:val="20"/>
          <w:szCs w:val="20"/>
        </w:rPr>
        <w:t>Proposal 2</w:t>
      </w:r>
      <w:r>
        <w:rPr>
          <w:rFonts w:ascii="Times New Roman" w:hAnsi="Times New Roman"/>
          <w:b/>
          <w:i/>
          <w:sz w:val="20"/>
          <w:szCs w:val="20"/>
        </w:rPr>
        <w:t xml:space="preserve">: </w:t>
      </w:r>
      <w:r>
        <w:rPr>
          <w:rFonts w:ascii="Times New Roman" w:hAnsi="Times New Roman"/>
          <w:i/>
          <w:sz w:val="20"/>
          <w:szCs w:val="20"/>
        </w:rPr>
        <w:t>T</w:t>
      </w:r>
      <w:r>
        <w:rPr>
          <w:rFonts w:hint="eastAsia" w:ascii="Times New Roman" w:hAnsi="Times New Roman"/>
          <w:i/>
          <w:sz w:val="20"/>
          <w:szCs w:val="20"/>
        </w:rPr>
        <w:t>o increase the number of orthogonal DMRS ports in MU-MIMO</w:t>
      </w:r>
      <w:r>
        <w:rPr>
          <w:rFonts w:hint="eastAsia" w:ascii="Times New Roman" w:hAnsi="Times New Roman"/>
          <w:bCs/>
          <w:i/>
          <w:iCs/>
          <w:sz w:val="20"/>
          <w:szCs w:val="20"/>
        </w:rPr>
        <w:t xml:space="preserve">, TD-OCC on non-continuous OFDM symbols should be supported additionally </w:t>
      </w:r>
      <w:r>
        <w:rPr>
          <w:rFonts w:hint="eastAsia" w:ascii="Times New Roman" w:hAnsi="Times New Roman"/>
          <w:i/>
          <w:sz w:val="20"/>
          <w:szCs w:val="20"/>
        </w:rPr>
        <w:t>i</w:t>
      </w:r>
      <w:r>
        <w:rPr>
          <w:rFonts w:ascii="Times New Roman" w:hAnsi="Times New Roman"/>
          <w:bCs/>
          <w:i/>
          <w:sz w:val="20"/>
          <w:szCs w:val="20"/>
        </w:rPr>
        <w:t>n the scenario of high-delay-spread</w:t>
      </w:r>
      <w:r>
        <w:rPr>
          <w:rFonts w:hint="eastAsia" w:ascii="Times New Roman" w:hAnsi="Times New Roman"/>
          <w:bCs/>
          <w:i/>
          <w:sz w:val="20"/>
          <w:szCs w:val="20"/>
        </w:rPr>
        <w:t>.</w:t>
      </w:r>
    </w:p>
    <w:p>
      <w:pPr>
        <w:snapToGrid w:val="0"/>
        <w:spacing w:before="108" w:beforeLines="30" w:after="108" w:afterLines="30" w:line="288" w:lineRule="auto"/>
        <w:jc w:val="both"/>
        <w:rPr>
          <w:rFonts w:ascii="Times New Roman" w:hAnsi="Times New Roman"/>
          <w:i/>
          <w:sz w:val="20"/>
          <w:szCs w:val="20"/>
        </w:rPr>
      </w:pPr>
      <w:r>
        <w:rPr>
          <w:rFonts w:hint="eastAsia" w:ascii="Times New Roman" w:hAnsi="Times New Roman"/>
          <w:b/>
          <w:i/>
          <w:sz w:val="20"/>
          <w:szCs w:val="20"/>
        </w:rPr>
        <w:t>Proposal 3</w:t>
      </w:r>
      <w:r>
        <w:rPr>
          <w:rFonts w:ascii="Times New Roman" w:hAnsi="Times New Roman"/>
          <w:b/>
          <w:i/>
          <w:sz w:val="20"/>
          <w:szCs w:val="20"/>
        </w:rPr>
        <w:t xml:space="preserve">: </w:t>
      </w:r>
      <w:r>
        <w:rPr>
          <w:rFonts w:hint="eastAsia" w:ascii="Times New Roman" w:hAnsi="Times New Roman"/>
          <w:i/>
          <w:sz w:val="20"/>
          <w:szCs w:val="20"/>
        </w:rPr>
        <w:t>Dynamic indication of legacy DMRS ports and Rel-18 DMRS ports is supported, where different values of the DMRS indication table is used to indicate the DMRS ports are legacy DMRS ports or Rel-18 DMRS ports.</w:t>
      </w:r>
    </w:p>
    <w:p>
      <w:pPr>
        <w:snapToGrid w:val="0"/>
        <w:spacing w:before="108" w:beforeLines="30" w:after="108" w:afterLines="30" w:line="288" w:lineRule="auto"/>
        <w:jc w:val="both"/>
        <w:rPr>
          <w:rFonts w:ascii="Times New Roman" w:hAnsi="Times New Roman"/>
          <w:sz w:val="20"/>
          <w:szCs w:val="20"/>
        </w:rPr>
      </w:pPr>
      <w:r>
        <w:rPr>
          <w:rFonts w:hint="eastAsia" w:ascii="Times New Roman" w:hAnsi="Times New Roman"/>
          <w:b/>
          <w:i/>
          <w:sz w:val="20"/>
          <w:szCs w:val="20"/>
        </w:rPr>
        <w:t>Proposal 4</w:t>
      </w:r>
      <w:r>
        <w:rPr>
          <w:rFonts w:ascii="Times New Roman" w:hAnsi="Times New Roman"/>
          <w:b/>
          <w:i/>
          <w:sz w:val="20"/>
          <w:szCs w:val="20"/>
        </w:rPr>
        <w:t xml:space="preserve">: </w:t>
      </w:r>
      <w:r>
        <w:rPr>
          <w:rFonts w:hint="eastAsia" w:ascii="Times New Roman" w:hAnsi="Times New Roman"/>
          <w:i/>
          <w:sz w:val="20"/>
          <w:szCs w:val="20"/>
        </w:rPr>
        <w:t>Support Walsh code for FD-OCC design with length 4 for both Rel-18 PDSCH DMRS and Rel-18 PUSCH DMRS.</w:t>
      </w:r>
    </w:p>
    <w:p>
      <w:pPr>
        <w:snapToGrid w:val="0"/>
        <w:spacing w:before="108" w:beforeLines="30" w:after="108" w:afterLines="30" w:line="288" w:lineRule="auto"/>
        <w:jc w:val="both"/>
        <w:rPr>
          <w:rFonts w:ascii="Times New Roman" w:hAnsi="Times New Roman"/>
          <w:i/>
          <w:sz w:val="20"/>
          <w:szCs w:val="20"/>
        </w:rPr>
      </w:pPr>
      <w:r>
        <w:rPr>
          <w:rFonts w:hint="eastAsia" w:ascii="Times New Roman" w:hAnsi="Times New Roman"/>
          <w:b/>
          <w:i/>
          <w:sz w:val="20"/>
          <w:szCs w:val="20"/>
        </w:rPr>
        <w:t>Proposal 5</w:t>
      </w:r>
      <w:r>
        <w:rPr>
          <w:rFonts w:ascii="Times New Roman" w:hAnsi="Times New Roman"/>
          <w:b/>
          <w:i/>
          <w:sz w:val="20"/>
          <w:szCs w:val="20"/>
        </w:rPr>
        <w:t xml:space="preserve">: </w:t>
      </w:r>
      <w:r>
        <w:rPr>
          <w:rFonts w:hint="eastAsia" w:ascii="Times New Roman" w:hAnsi="Times New Roman"/>
          <w:i/>
          <w:sz w:val="20"/>
          <w:szCs w:val="20"/>
        </w:rPr>
        <w:t xml:space="preserve">Support to enable </w:t>
      </w:r>
      <w:r>
        <w:rPr>
          <w:rFonts w:ascii="Times New Roman" w:hAnsi="Times New Roman" w:eastAsia="Times New Roman"/>
          <w:i/>
          <w:iCs/>
          <w:color w:val="000000"/>
          <w:sz w:val="20"/>
          <w:szCs w:val="20"/>
          <w:lang w:eastAsia="ja-JP"/>
        </w:rPr>
        <w:t>MU-MIMO between Rel</w:t>
      </w:r>
      <w:r>
        <w:rPr>
          <w:rFonts w:hint="eastAsia" w:ascii="Times New Roman" w:hAnsi="Times New Roman" w:eastAsia="宋体"/>
          <w:i/>
          <w:iCs/>
          <w:color w:val="000000"/>
          <w:sz w:val="20"/>
          <w:szCs w:val="20"/>
        </w:rPr>
        <w:t>-</w:t>
      </w:r>
      <w:r>
        <w:rPr>
          <w:rFonts w:ascii="Times New Roman" w:hAnsi="Times New Roman" w:eastAsia="Times New Roman"/>
          <w:i/>
          <w:iCs/>
          <w:color w:val="000000"/>
          <w:sz w:val="20"/>
          <w:szCs w:val="20"/>
          <w:lang w:eastAsia="ja-JP"/>
        </w:rPr>
        <w:t>15 DMRS ports and Rel</w:t>
      </w:r>
      <w:r>
        <w:rPr>
          <w:rFonts w:hint="eastAsia" w:ascii="Times New Roman" w:hAnsi="Times New Roman" w:eastAsia="宋体"/>
          <w:i/>
          <w:iCs/>
          <w:color w:val="000000"/>
          <w:sz w:val="20"/>
          <w:szCs w:val="20"/>
        </w:rPr>
        <w:t>-</w:t>
      </w:r>
      <w:r>
        <w:rPr>
          <w:rFonts w:ascii="Times New Roman" w:hAnsi="Times New Roman" w:eastAsia="Times New Roman"/>
          <w:i/>
          <w:iCs/>
          <w:color w:val="000000"/>
          <w:sz w:val="20"/>
          <w:szCs w:val="20"/>
          <w:lang w:eastAsia="ja-JP"/>
        </w:rPr>
        <w:t>18 DMRS ports</w:t>
      </w:r>
      <w:r>
        <w:rPr>
          <w:rFonts w:hint="eastAsia" w:ascii="Times New Roman" w:hAnsi="Times New Roman" w:eastAsia="宋体"/>
          <w:i/>
          <w:iCs/>
          <w:color w:val="000000"/>
          <w:sz w:val="20"/>
          <w:szCs w:val="20"/>
        </w:rPr>
        <w:t xml:space="preserve"> </w:t>
      </w:r>
      <w:r>
        <w:rPr>
          <w:rFonts w:ascii="Times New Roman" w:hAnsi="Times New Roman" w:eastAsia="Times New Roman"/>
          <w:i/>
          <w:iCs/>
          <w:color w:val="000000"/>
          <w:sz w:val="20"/>
          <w:szCs w:val="20"/>
          <w:lang w:eastAsia="ja-JP"/>
        </w:rPr>
        <w:t>in the same CDM group</w:t>
      </w:r>
      <w:r>
        <w:rPr>
          <w:rFonts w:hint="eastAsia" w:ascii="Times New Roman" w:hAnsi="Times New Roman"/>
          <w:i/>
          <w:iCs/>
          <w:sz w:val="20"/>
          <w:szCs w:val="20"/>
        </w:rPr>
        <w:t>.</w:t>
      </w:r>
      <w:r>
        <w:rPr>
          <w:rFonts w:ascii="Times New Roman" w:hAnsi="Times New Roman"/>
          <w:i/>
          <w:sz w:val="20"/>
          <w:szCs w:val="20"/>
        </w:rPr>
        <w:t xml:space="preserve"> </w:t>
      </w:r>
    </w:p>
    <w:p>
      <w:pPr>
        <w:numPr>
          <w:ilvl w:val="0"/>
          <w:numId w:val="11"/>
        </w:numPr>
        <w:snapToGrid w:val="0"/>
        <w:spacing w:before="108" w:beforeLines="30" w:after="108" w:afterLines="30" w:line="288" w:lineRule="auto"/>
        <w:ind w:left="839"/>
        <w:jc w:val="both"/>
        <w:rPr>
          <w:rFonts w:ascii="Times New Roman" w:hAnsi="Times New Roman"/>
          <w:sz w:val="20"/>
          <w:szCs w:val="20"/>
        </w:rPr>
      </w:pPr>
      <w:r>
        <w:rPr>
          <w:rFonts w:hint="eastAsia" w:ascii="Times New Roman" w:hAnsi="Times New Roman"/>
          <w:i/>
          <w:sz w:val="20"/>
          <w:szCs w:val="20"/>
        </w:rPr>
        <w:t>If Rel-18 DMRS ports are co-scheduled with Rel-15 DMRS in the same CDM group, the OCC of the scheduled Rel-18 DMRS ports should be orthogonal with that of Rel-15 DMRS ports.</w:t>
      </w:r>
    </w:p>
    <w:p>
      <w:pPr>
        <w:adjustRightInd w:val="0"/>
        <w:snapToGrid w:val="0"/>
        <w:spacing w:before="180" w:beforeLines="50" w:after="10" w:line="288" w:lineRule="auto"/>
        <w:rPr>
          <w:rFonts w:ascii="Times New Roman" w:hAnsi="Times New Roman"/>
          <w:sz w:val="20"/>
          <w:szCs w:val="20"/>
        </w:rPr>
      </w:pPr>
      <w:r>
        <w:rPr>
          <w:rFonts w:hint="eastAsia" w:ascii="Times New Roman" w:hAnsi="Times New Roman"/>
          <w:b/>
          <w:i/>
          <w:sz w:val="20"/>
          <w:szCs w:val="20"/>
        </w:rPr>
        <w:t>Proposal 6</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i/>
          <w:sz w:val="20"/>
          <w:szCs w:val="20"/>
          <w:lang w:eastAsia="ja-JP"/>
        </w:rPr>
        <w:t xml:space="preserve">For &gt; 4 layers PUSCH, </w:t>
      </w:r>
      <w:r>
        <w:rPr>
          <w:rFonts w:hint="eastAsia" w:ascii="Times New Roman" w:hAnsi="Times New Roman"/>
          <w:i/>
          <w:sz w:val="20"/>
          <w:szCs w:val="20"/>
        </w:rPr>
        <w:t>support DCI based indication of the dynamic switching between Rel-15 DMRS ports or Rel-18 DMRS ports.</w:t>
      </w:r>
    </w:p>
    <w:p>
      <w:pPr>
        <w:adjustRightInd w:val="0"/>
        <w:snapToGrid w:val="0"/>
        <w:spacing w:before="180" w:beforeLines="50" w:after="10" w:line="288" w:lineRule="auto"/>
        <w:rPr>
          <w:rFonts w:ascii="Times New Roman" w:hAnsi="Times New Roman"/>
          <w:sz w:val="20"/>
          <w:szCs w:val="20"/>
        </w:rPr>
      </w:pPr>
      <w:r>
        <w:rPr>
          <w:rFonts w:hint="eastAsia" w:ascii="Times New Roman" w:hAnsi="Times New Roman"/>
          <w:b/>
          <w:i/>
          <w:sz w:val="20"/>
          <w:szCs w:val="20"/>
        </w:rPr>
        <w:t>Proposal 7</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i/>
          <w:sz w:val="20"/>
          <w:szCs w:val="20"/>
          <w:lang w:eastAsia="ja-JP"/>
        </w:rPr>
        <w:t xml:space="preserve">For &gt; 4 layers PUSCH, </w:t>
      </w:r>
      <w:r>
        <w:rPr>
          <w:rFonts w:hint="eastAsia" w:ascii="Times New Roman" w:hAnsi="Times New Roman"/>
          <w:i/>
          <w:sz w:val="20"/>
          <w:szCs w:val="20"/>
        </w:rPr>
        <w:t>support separate indication tables for rank 5/6/7/8.</w:t>
      </w:r>
    </w:p>
    <w:p>
      <w:pPr>
        <w:numPr>
          <w:ilvl w:val="0"/>
          <w:numId w:val="11"/>
        </w:numPr>
        <w:snapToGrid w:val="0"/>
        <w:spacing w:before="10" w:after="10" w:line="288" w:lineRule="auto"/>
        <w:jc w:val="both"/>
        <w:rPr>
          <w:rFonts w:ascii="Times New Roman" w:hAnsi="Times New Roman"/>
          <w:iCs/>
          <w:sz w:val="20"/>
          <w:szCs w:val="20"/>
        </w:rPr>
      </w:pPr>
      <w:r>
        <w:rPr>
          <w:rFonts w:hint="eastAsia" w:ascii="Times New Roman" w:hAnsi="Times New Roman"/>
          <w:i/>
          <w:sz w:val="20"/>
          <w:szCs w:val="20"/>
        </w:rPr>
        <w:t>FFS: whether</w:t>
      </w:r>
      <w:r>
        <w:rPr>
          <w:rFonts w:ascii="Times New Roman" w:hAnsi="Times New Roman"/>
          <w:i/>
          <w:sz w:val="20"/>
          <w:szCs w:val="20"/>
        </w:rPr>
        <w:t>/how</w:t>
      </w:r>
      <w:r>
        <w:rPr>
          <w:rFonts w:hint="eastAsia" w:ascii="Times New Roman" w:hAnsi="Times New Roman"/>
          <w:i/>
          <w:sz w:val="20"/>
          <w:szCs w:val="20"/>
        </w:rPr>
        <w:t xml:space="preserve"> to support that other DMRS ports can be scheduled to other UE</w:t>
      </w:r>
      <w:r>
        <w:rPr>
          <w:rFonts w:ascii="Times New Roman" w:hAnsi="Times New Roman"/>
          <w:i/>
          <w:sz w:val="20"/>
          <w:szCs w:val="20"/>
        </w:rPr>
        <w:t>s</w:t>
      </w:r>
      <w:r>
        <w:rPr>
          <w:rFonts w:hint="eastAsia" w:ascii="Times New Roman" w:hAnsi="Times New Roman"/>
          <w:i/>
          <w:sz w:val="20"/>
          <w:szCs w:val="20"/>
        </w:rPr>
        <w:t xml:space="preserve"> for double symbol based Rel-18 DMRS.</w:t>
      </w:r>
    </w:p>
    <w:p>
      <w:pPr>
        <w:snapToGrid w:val="0"/>
        <w:spacing w:before="180" w:beforeLines="50" w:after="0" w:line="288" w:lineRule="auto"/>
        <w:jc w:val="both"/>
        <w:rPr>
          <w:rFonts w:ascii="Times New Roman" w:hAnsi="Times New Roman"/>
          <w:i/>
          <w:sz w:val="20"/>
          <w:szCs w:val="20"/>
        </w:rPr>
      </w:pPr>
      <w:r>
        <w:rPr>
          <w:rFonts w:hint="eastAsia" w:ascii="Times New Roman" w:hAnsi="Times New Roman"/>
          <w:b/>
          <w:i/>
          <w:sz w:val="20"/>
          <w:szCs w:val="20"/>
        </w:rPr>
        <w:t>Proposal 8</w:t>
      </w:r>
      <w:r>
        <w:rPr>
          <w:rFonts w:ascii="Times New Roman" w:hAnsi="Times New Roman"/>
          <w:b/>
          <w:i/>
          <w:sz w:val="20"/>
          <w:szCs w:val="20"/>
        </w:rPr>
        <w:t xml:space="preserve">: </w:t>
      </w:r>
      <w:r>
        <w:rPr>
          <w:rFonts w:hint="eastAsia" w:ascii="Times New Roman" w:hAnsi="Times New Roman"/>
          <w:i/>
          <w:sz w:val="20"/>
          <w:szCs w:val="20"/>
        </w:rPr>
        <w:t xml:space="preserve">More than 2 bits should be used for the DMRS port and PTRS port association indication for UL transmission with more than 4 </w:t>
      </w:r>
      <w:r>
        <w:rPr>
          <w:rFonts w:ascii="Times New Roman" w:hAnsi="Times New Roman"/>
          <w:i/>
          <w:sz w:val="20"/>
          <w:szCs w:val="20"/>
        </w:rPr>
        <w:t>layers.</w:t>
      </w:r>
      <w:r>
        <w:rPr>
          <w:rFonts w:hint="eastAsia" w:ascii="Times New Roman" w:hAnsi="Times New Roman"/>
          <w:i/>
          <w:sz w:val="20"/>
          <w:szCs w:val="20"/>
        </w:rPr>
        <w:t xml:space="preserve"> </w:t>
      </w:r>
    </w:p>
    <w:p>
      <w:pPr>
        <w:numPr>
          <w:ilvl w:val="0"/>
          <w:numId w:val="11"/>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Support 3 or 4 bits of the PTRS-DMRS association field in DCI.</w:t>
      </w:r>
    </w:p>
    <w:p>
      <w:pPr>
        <w:numPr>
          <w:ilvl w:val="0"/>
          <w:numId w:val="11"/>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Support 2 PTRS ports for up to 8 layers transmission.</w:t>
      </w:r>
    </w:p>
    <w:p>
      <w:pPr>
        <w:pStyle w:val="2"/>
        <w:snapToGrid w:val="0"/>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27"/>
    <w:bookmarkEnd w:id="28"/>
    <w:p>
      <w:pPr>
        <w:pStyle w:val="88"/>
        <w:numPr>
          <w:ilvl w:val="0"/>
          <w:numId w:val="15"/>
        </w:numPr>
        <w:snapToGrid w:val="0"/>
        <w:rPr>
          <w:bCs/>
          <w:sz w:val="20"/>
          <w:szCs w:val="20"/>
        </w:rPr>
      </w:pPr>
      <w:r>
        <w:rPr>
          <w:bCs/>
          <w:sz w:val="20"/>
          <w:szCs w:val="20"/>
        </w:rPr>
        <w:t>RP-213598, New WID: MIMO Evolution for Downlink and Uplink, Samsung (Moderator)</w:t>
      </w:r>
    </w:p>
    <w:p>
      <w:pPr>
        <w:pStyle w:val="88"/>
        <w:numPr>
          <w:ilvl w:val="0"/>
          <w:numId w:val="15"/>
        </w:numPr>
        <w:snapToGrid w:val="0"/>
        <w:rPr>
          <w:bCs/>
          <w:sz w:val="20"/>
          <w:szCs w:val="20"/>
        </w:rPr>
      </w:pPr>
      <w:bookmarkStart w:id="29" w:name="OLE_LINK20"/>
      <w:r>
        <w:rPr>
          <w:rFonts w:hint="eastAsia"/>
          <w:bCs/>
          <w:sz w:val="20"/>
          <w:szCs w:val="20"/>
        </w:rPr>
        <w:t>Chair's notes RAN1#109-e v15,</w:t>
      </w:r>
      <w:bookmarkStart w:id="30" w:name="OLE_LINK9"/>
      <w:r>
        <w:rPr>
          <w:rFonts w:hint="eastAsia"/>
          <w:bCs/>
          <w:sz w:val="20"/>
          <w:szCs w:val="20"/>
        </w:rPr>
        <w:t xml:space="preserve"> </w:t>
      </w:r>
      <w:r>
        <w:rPr>
          <w:rFonts w:hint="eastAsia"/>
          <w:sz w:val="20"/>
          <w:szCs w:val="20"/>
        </w:rPr>
        <w:t>May 9</w:t>
      </w:r>
      <w:r>
        <w:rPr>
          <w:rFonts w:hint="eastAsia"/>
          <w:sz w:val="20"/>
          <w:szCs w:val="20"/>
          <w:vertAlign w:val="superscript"/>
        </w:rPr>
        <w:t>th</w:t>
      </w:r>
      <w:r>
        <w:rPr>
          <w:rFonts w:hint="eastAsia"/>
          <w:sz w:val="20"/>
          <w:szCs w:val="20"/>
        </w:rPr>
        <w:t>-20</w:t>
      </w:r>
      <w:r>
        <w:rPr>
          <w:rFonts w:hint="eastAsia"/>
          <w:sz w:val="20"/>
          <w:szCs w:val="20"/>
          <w:vertAlign w:val="superscript"/>
        </w:rPr>
        <w:t>th</w:t>
      </w:r>
      <w:r>
        <w:rPr>
          <w:rFonts w:hint="eastAsia"/>
          <w:sz w:val="20"/>
          <w:szCs w:val="20"/>
        </w:rPr>
        <w:t>, 2022,</w:t>
      </w:r>
      <w:bookmarkEnd w:id="30"/>
      <w:r>
        <w:rPr>
          <w:rFonts w:hint="eastAsia"/>
          <w:sz w:val="20"/>
          <w:szCs w:val="20"/>
        </w:rPr>
        <w:t>3GPP</w:t>
      </w:r>
    </w:p>
    <w:p>
      <w:pPr>
        <w:pStyle w:val="88"/>
        <w:numPr>
          <w:ilvl w:val="0"/>
          <w:numId w:val="15"/>
        </w:numPr>
        <w:snapToGrid w:val="0"/>
        <w:rPr>
          <w:bCs/>
          <w:sz w:val="20"/>
          <w:szCs w:val="20"/>
        </w:rPr>
      </w:pPr>
      <w:r>
        <w:rPr>
          <w:rFonts w:hint="eastAsia"/>
          <w:bCs/>
          <w:sz w:val="20"/>
          <w:szCs w:val="20"/>
        </w:rPr>
        <w:t xml:space="preserve">Chair's notes RAN1#110 bis-e v13, </w:t>
      </w:r>
      <w:r>
        <w:rPr>
          <w:rFonts w:hint="eastAsia"/>
          <w:sz w:val="20"/>
          <w:szCs w:val="20"/>
        </w:rPr>
        <w:t>Oct 10</w:t>
      </w:r>
      <w:r>
        <w:rPr>
          <w:rFonts w:hint="eastAsia"/>
          <w:sz w:val="20"/>
          <w:szCs w:val="20"/>
          <w:vertAlign w:val="superscript"/>
        </w:rPr>
        <w:t>th</w:t>
      </w:r>
      <w:r>
        <w:rPr>
          <w:rFonts w:hint="eastAsia"/>
          <w:sz w:val="20"/>
          <w:szCs w:val="20"/>
        </w:rPr>
        <w:t>-19</w:t>
      </w:r>
      <w:r>
        <w:rPr>
          <w:rFonts w:hint="eastAsia"/>
          <w:sz w:val="20"/>
          <w:szCs w:val="20"/>
          <w:vertAlign w:val="superscript"/>
        </w:rPr>
        <w:t>th</w:t>
      </w:r>
      <w:r>
        <w:rPr>
          <w:rFonts w:hint="eastAsia"/>
          <w:sz w:val="20"/>
          <w:szCs w:val="20"/>
        </w:rPr>
        <w:t>, 2022,3GPP</w:t>
      </w:r>
    </w:p>
    <w:bookmarkEnd w:id="29"/>
    <w:p>
      <w:pPr>
        <w:pStyle w:val="88"/>
        <w:numPr>
          <w:ilvl w:val="0"/>
          <w:numId w:val="15"/>
        </w:numPr>
        <w:snapToGrid w:val="0"/>
        <w:rPr>
          <w:bCs/>
          <w:sz w:val="20"/>
          <w:szCs w:val="20"/>
        </w:rPr>
      </w:pPr>
      <w:r>
        <w:rPr>
          <w:rFonts w:hint="eastAsia"/>
          <w:bCs/>
          <w:sz w:val="20"/>
          <w:szCs w:val="20"/>
        </w:rPr>
        <w:t xml:space="preserve">Chair's notes RAN1#110 v17, </w:t>
      </w:r>
      <w:r>
        <w:rPr>
          <w:rFonts w:hint="eastAsia"/>
          <w:sz w:val="20"/>
          <w:szCs w:val="20"/>
        </w:rPr>
        <w:t>Aug 22</w:t>
      </w:r>
      <w:r>
        <w:rPr>
          <w:rFonts w:hint="eastAsia"/>
          <w:sz w:val="20"/>
          <w:szCs w:val="20"/>
          <w:vertAlign w:val="superscript"/>
        </w:rPr>
        <w:t>th</w:t>
      </w:r>
      <w:r>
        <w:rPr>
          <w:rFonts w:hint="eastAsia"/>
          <w:sz w:val="20"/>
          <w:szCs w:val="20"/>
        </w:rPr>
        <w:t>-26</w:t>
      </w:r>
      <w:r>
        <w:rPr>
          <w:rFonts w:hint="eastAsia"/>
          <w:sz w:val="20"/>
          <w:szCs w:val="20"/>
          <w:vertAlign w:val="superscript"/>
        </w:rPr>
        <w:t>th</w:t>
      </w:r>
      <w:r>
        <w:rPr>
          <w:rFonts w:hint="eastAsia"/>
          <w:sz w:val="20"/>
          <w:szCs w:val="20"/>
        </w:rPr>
        <w:t>, 2022,3GPP</w:t>
      </w:r>
    </w:p>
    <w:p>
      <w:pPr>
        <w:pStyle w:val="88"/>
        <w:numPr>
          <w:ilvl w:val="0"/>
          <w:numId w:val="15"/>
        </w:numPr>
        <w:snapToGrid w:val="0"/>
        <w:rPr>
          <w:bCs/>
          <w:sz w:val="20"/>
          <w:szCs w:val="20"/>
        </w:rPr>
      </w:pPr>
      <w:r>
        <w:rPr>
          <w:rFonts w:hint="eastAsia"/>
          <w:bCs/>
          <w:sz w:val="20"/>
          <w:szCs w:val="20"/>
        </w:rPr>
        <w:t>TS 38.214 h30, 2022, 3GPP</w:t>
      </w:r>
    </w:p>
    <w:p>
      <w:pPr>
        <w:pStyle w:val="2"/>
        <w:snapToGrid w:val="0"/>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Appendix</w:t>
      </w:r>
    </w:p>
    <w:tbl>
      <w:tblPr>
        <w:tblStyle w:val="27"/>
        <w:tblW w:w="9708" w:type="dxa"/>
        <w:jc w:val="center"/>
        <w:tblLayout w:type="autofit"/>
        <w:tblCellMar>
          <w:top w:w="0" w:type="dxa"/>
          <w:left w:w="0" w:type="dxa"/>
          <w:bottom w:w="0" w:type="dxa"/>
          <w:right w:w="0" w:type="dxa"/>
        </w:tblCellMar>
      </w:tblPr>
      <w:tblGrid>
        <w:gridCol w:w="2620"/>
        <w:gridCol w:w="7088"/>
      </w:tblGrid>
      <w:tr>
        <w:tblPrEx>
          <w:tblCellMar>
            <w:top w:w="0" w:type="dxa"/>
            <w:left w:w="0" w:type="dxa"/>
            <w:bottom w:w="0" w:type="dxa"/>
            <w:right w:w="0" w:type="dxa"/>
          </w:tblCellMar>
        </w:tblPrEx>
        <w:trPr>
          <w:trHeight w:val="285" w:hRule="atLeast"/>
          <w:jc w:val="center"/>
        </w:trPr>
        <w:tc>
          <w:tcPr>
            <w:tcW w:w="2620" w:type="dxa"/>
            <w:tcBorders>
              <w:top w:val="single" w:color="auto" w:sz="8" w:space="0"/>
              <w:left w:val="single" w:color="auto" w:sz="8" w:space="0"/>
              <w:bottom w:val="single" w:color="auto" w:sz="8" w:space="0"/>
              <w:right w:val="single" w:color="auto" w:sz="8" w:space="0"/>
            </w:tcBorders>
            <w:shd w:val="clear" w:color="auto" w:fill="FFEB9C"/>
            <w:tcMar>
              <w:top w:w="0" w:type="dxa"/>
              <w:left w:w="108" w:type="dxa"/>
              <w:bottom w:w="0" w:type="dxa"/>
              <w:right w:w="108" w:type="dxa"/>
            </w:tcMar>
            <w:vAlign w:val="center"/>
          </w:tcPr>
          <w:p>
            <w:pPr>
              <w:spacing w:after="0" w:line="240" w:lineRule="auto"/>
              <w:rPr>
                <w:rFonts w:ascii="Times New Roman" w:hAnsi="Times New Roman" w:eastAsia="Malgun Gothic"/>
                <w:szCs w:val="20"/>
              </w:rPr>
            </w:pPr>
            <w:r>
              <w:rPr>
                <w:rFonts w:ascii="Times New Roman" w:hAnsi="Times New Roman"/>
                <w:b/>
                <w:bCs/>
                <w:szCs w:val="20"/>
              </w:rPr>
              <w:t>Parameter </w:t>
            </w:r>
          </w:p>
        </w:tc>
        <w:tc>
          <w:tcPr>
            <w:tcW w:w="7088" w:type="dxa"/>
            <w:tcBorders>
              <w:top w:val="single" w:color="auto" w:sz="8" w:space="0"/>
              <w:left w:val="nil"/>
              <w:bottom w:val="single" w:color="auto" w:sz="8" w:space="0"/>
              <w:right w:val="single" w:color="auto" w:sz="8" w:space="0"/>
            </w:tcBorders>
            <w:shd w:val="clear" w:color="auto" w:fill="FFEB9C"/>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b/>
                <w:bCs/>
                <w:szCs w:val="20"/>
              </w:rPr>
              <w:t>Value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Duplex, Waveform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TDD, OFDM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Carrier Frequency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4 GHz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color w:val="000000"/>
                <w:szCs w:val="20"/>
              </w:rPr>
              <w:t xml:space="preserve">Subcarrier spacing </w:t>
            </w:r>
            <w:r>
              <w:rPr>
                <w:rFonts w:ascii="Times New Roman" w:hAnsi="Times New Roman"/>
                <w:szCs w:val="20"/>
              </w:rPr>
              <w:t>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color w:val="000000"/>
                <w:szCs w:val="20"/>
              </w:rPr>
              <w:t>30kHz</w:t>
            </w:r>
            <w:r>
              <w:rPr>
                <w:rFonts w:ascii="Times New Roman" w:hAnsi="Times New Roman"/>
                <w:szCs w:val="20"/>
              </w:rPr>
              <w:t>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Channel Model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lang w:eastAsia="ja-JP"/>
              </w:rPr>
              <w:t xml:space="preserve">CDL-B in TR 38.901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Delay spread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Baseline: 300ns </w:t>
            </w:r>
            <w:r>
              <w:rPr>
                <w:rFonts w:hint="eastAsia" w:ascii="Times New Roman" w:hAnsi="Times New Roman"/>
                <w:szCs w:val="20"/>
              </w:rPr>
              <w:t>,1000ns</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UE velocity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Baseline: 3km/h</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Allocation bandwidth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20MHz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MIMO scheme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Baseline: MU-MIMO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BS antenna configuration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16 ports: (M, N, P, Mg, Ng, Mp, Np) = (8,4,2,1,1,2,4), (dH,dV) = (0.5, 0.8)λ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UE antenna configuration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hint="eastAsia" w:ascii="Times New Roman" w:hAnsi="Times New Roman"/>
                <w:szCs w:val="20"/>
              </w:rPr>
              <w:t>4</w:t>
            </w:r>
            <w:r>
              <w:rPr>
                <w:rFonts w:ascii="Times New Roman" w:hAnsi="Times New Roman"/>
                <w:szCs w:val="20"/>
              </w:rPr>
              <w:t>RX: (M, N, P, Mg, Ng, Mp, Np) = (</w:t>
            </w:r>
            <w:r>
              <w:rPr>
                <w:rFonts w:hint="eastAsia" w:ascii="Times New Roman" w:hAnsi="Times New Roman"/>
                <w:szCs w:val="20"/>
              </w:rPr>
              <w:t>1</w:t>
            </w:r>
            <w:r>
              <w:rPr>
                <w:rFonts w:ascii="Times New Roman" w:hAnsi="Times New Roman"/>
                <w:szCs w:val="20"/>
              </w:rPr>
              <w:t>,</w:t>
            </w:r>
            <w:r>
              <w:rPr>
                <w:rFonts w:hint="eastAsia" w:ascii="Times New Roman" w:hAnsi="Times New Roman"/>
                <w:szCs w:val="20"/>
              </w:rPr>
              <w:t>2</w:t>
            </w:r>
            <w:r>
              <w:rPr>
                <w:rFonts w:ascii="Times New Roman" w:hAnsi="Times New Roman"/>
                <w:szCs w:val="20"/>
              </w:rPr>
              <w:t>,2,1,1,</w:t>
            </w:r>
            <w:r>
              <w:rPr>
                <w:rFonts w:hint="eastAsia" w:ascii="Times New Roman" w:hAnsi="Times New Roman"/>
                <w:szCs w:val="20"/>
              </w:rPr>
              <w:t>1,2</w:t>
            </w:r>
            <w:r>
              <w:rPr>
                <w:rFonts w:ascii="Times New Roman" w:hAnsi="Times New Roman"/>
                <w:szCs w:val="20"/>
              </w:rPr>
              <w:t>), (dH,dV) = (0.5, 0.5)λ for rank 1</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MIMO Rank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1 per UE, rank fixed</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UE number for MU-MIMO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2</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Precoding and precoding granularity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eastAsia="Times New Roman"/>
                <w:szCs w:val="20"/>
              </w:rPr>
            </w:pPr>
            <w:r>
              <w:rPr>
                <w:rFonts w:ascii="Times New Roman" w:hAnsi="Times New Roman" w:eastAsia="Times New Roman"/>
                <w:szCs w:val="20"/>
              </w:rPr>
              <w:t>SVD based sub-band precoding (with 4PRB precoding granularity) on ideal channel knowledge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eastAsia="Malgun Gothic"/>
                <w:szCs w:val="20"/>
              </w:rPr>
            </w:pPr>
            <w:r>
              <w:rPr>
                <w:rFonts w:ascii="Times New Roman" w:hAnsi="Times New Roman"/>
                <w:szCs w:val="20"/>
              </w:rPr>
              <w:t>Feedback delay for precoding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5ms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DMRS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 xml:space="preserve">Type </w:t>
            </w:r>
            <w:r>
              <w:rPr>
                <w:rFonts w:hint="eastAsia" w:ascii="Times New Roman" w:hAnsi="Times New Roman"/>
                <w:szCs w:val="20"/>
              </w:rPr>
              <w:t>1</w:t>
            </w:r>
            <w:r>
              <w:rPr>
                <w:rFonts w:ascii="Times New Roman" w:hAnsi="Times New Roman"/>
                <w:szCs w:val="20"/>
              </w:rPr>
              <w:t>E </w:t>
            </w:r>
            <w:r>
              <w:rPr>
                <w:rFonts w:hint="eastAsia" w:ascii="Times New Roman" w:hAnsi="Times New Roman"/>
                <w:szCs w:val="20"/>
              </w:rPr>
              <w:t xml:space="preserve">and </w:t>
            </w:r>
            <w:r>
              <w:rPr>
                <w:rFonts w:ascii="Times New Roman" w:hAnsi="Times New Roman"/>
                <w:szCs w:val="20"/>
              </w:rPr>
              <w:t>Type 2E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DMRS configurations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eastAsia="Malgun Gothic"/>
                <w:szCs w:val="20"/>
              </w:rPr>
            </w:pPr>
            <w:r>
              <w:rPr>
                <w:rFonts w:ascii="Times New Roman" w:hAnsi="Times New Roman" w:eastAsia="Times New Roman"/>
                <w:szCs w:val="20"/>
              </w:rPr>
              <w:t>Single symbol DMRS and 1 additional DMRS symbol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DMRS mapping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Mapping type A (slot based) for PDSCH.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Link adaptation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eastAsia="Times New Roman"/>
                <w:szCs w:val="20"/>
              </w:rPr>
            </w:pPr>
            <w:r>
              <w:rPr>
                <w:rFonts w:ascii="Times New Roman" w:hAnsi="Times New Roman" w:eastAsia="Times New Roman"/>
                <w:szCs w:val="20"/>
              </w:rPr>
              <w:t>Fixed modulation, coding and rank for BLER evaluation as baseline.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eastAsia="Malgun Gothic"/>
                <w:szCs w:val="20"/>
              </w:rPr>
            </w:pPr>
            <w:r>
              <w:rPr>
                <w:rFonts w:ascii="Times New Roman" w:hAnsi="Times New Roman"/>
                <w:szCs w:val="20"/>
              </w:rPr>
              <w:t>HARQ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Baseline: Off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Channel estimation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Realistic channel estimation with ideal info of frequency sync, SNR, doppler and delay spread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Receiver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MMSE as baseline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EVM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No radio impairments  </w:t>
            </w:r>
          </w:p>
        </w:tc>
      </w:tr>
    </w:tbl>
    <w:p>
      <w:pPr>
        <w:pStyle w:val="88"/>
        <w:snapToGrid w:val="0"/>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swiss"/>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MS PGothic">
    <w:panose1 w:val="020B0600070205080204"/>
    <w:charset w:val="80"/>
    <w:family w:val="swiss"/>
    <w:pitch w:val="default"/>
    <w:sig w:usb0="E00002FF" w:usb1="6AC7FDFB" w:usb2="00000012" w:usb3="00000000" w:csb0="4002009F" w:csb1="DFD70000"/>
  </w:font>
  <w:font w:name="Yu Gothic UI">
    <w:altName w:val="MS UI Gothic"/>
    <w:panose1 w:val="020B0500000000000000"/>
    <w:charset w:val="80"/>
    <w:family w:val="swiss"/>
    <w:pitch w:val="default"/>
    <w:sig w:usb0="00000000" w:usb1="00000000" w:usb2="00000016" w:usb3="00000000" w:csb0="0002009F"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724D0E"/>
    <w:multiLevelType w:val="singleLevel"/>
    <w:tmpl w:val="C1724D0E"/>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C898F336"/>
    <w:multiLevelType w:val="multilevel"/>
    <w:tmpl w:val="C898F336"/>
    <w:lvl w:ilvl="0" w:tentative="0">
      <w:start w:val="1"/>
      <w:numFmt w:val="bullet"/>
      <w:lvlText w:val="-"/>
      <w:lvlJc w:val="left"/>
      <w:pPr>
        <w:tabs>
          <w:tab w:val="left" w:pos="420"/>
        </w:tabs>
        <w:ind w:left="840" w:hanging="420"/>
      </w:pPr>
      <w:rPr>
        <w:rFonts w:hint="default" w:ascii="微软雅黑" w:hAnsi="微软雅黑" w:eastAsia="微软雅黑" w:cs="微软雅黑"/>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
    <w:nsid w:val="D0C7CF10"/>
    <w:multiLevelType w:val="singleLevel"/>
    <w:tmpl w:val="D0C7CF10"/>
    <w:lvl w:ilvl="0" w:tentative="0">
      <w:start w:val="5"/>
      <w:numFmt w:val="decimal"/>
      <w:suff w:val="space"/>
      <w:lvlText w:val="%1."/>
      <w:lvlJc w:val="left"/>
    </w:lvl>
  </w:abstractNum>
  <w:abstractNum w:abstractNumId="3">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06FD5522"/>
    <w:multiLevelType w:val="multilevel"/>
    <w:tmpl w:val="06FD552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17222DEE"/>
    <w:multiLevelType w:val="singleLevel"/>
    <w:tmpl w:val="17222DEE"/>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19906731"/>
    <w:multiLevelType w:val="multilevel"/>
    <w:tmpl w:val="19906731"/>
    <w:lvl w:ilvl="0" w:tentative="0">
      <w:start w:val="2"/>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Times New Roman" w:hAnsi="Times New Roman" w:eastAsia="宋体" w:cs="Times New Roman"/>
        <w:sz w:val="24"/>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1AE56728"/>
    <w:multiLevelType w:val="multilevel"/>
    <w:tmpl w:val="1AE56728"/>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1F8E4AF6"/>
    <w:multiLevelType w:val="multilevel"/>
    <w:tmpl w:val="1F8E4A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46C65D9C"/>
    <w:multiLevelType w:val="multilevel"/>
    <w:tmpl w:val="46C65D9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eastAsia="MS Mincho" w:cs="Times New Roman"/>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52A25E34"/>
    <w:multiLevelType w:val="multilevel"/>
    <w:tmpl w:val="52A25E34"/>
    <w:lvl w:ilvl="0" w:tentative="0">
      <w:start w:val="1"/>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E93823A"/>
    <w:multiLevelType w:val="singleLevel"/>
    <w:tmpl w:val="5E93823A"/>
    <w:lvl w:ilvl="0" w:tentative="0">
      <w:start w:val="1"/>
      <w:numFmt w:val="decimal"/>
      <w:suff w:val="space"/>
      <w:lvlText w:val="[%1]"/>
      <w:lvlJc w:val="left"/>
    </w:lvl>
  </w:abstractNum>
  <w:abstractNum w:abstractNumId="13">
    <w:nsid w:val="63456708"/>
    <w:multiLevelType w:val="singleLevel"/>
    <w:tmpl w:val="63456708"/>
    <w:lvl w:ilvl="0" w:tentative="0">
      <w:start w:val="1"/>
      <w:numFmt w:val="bullet"/>
      <w:lvlText w:val="-"/>
      <w:lvlJc w:val="left"/>
      <w:pPr>
        <w:ind w:left="420" w:hanging="420"/>
      </w:pPr>
      <w:rPr>
        <w:rFonts w:hint="default" w:ascii="微软雅黑" w:hAnsi="微软雅黑" w:eastAsia="微软雅黑" w:cs="微软雅黑"/>
      </w:rPr>
    </w:lvl>
  </w:abstractNum>
  <w:abstractNum w:abstractNumId="14">
    <w:nsid w:val="73AFD7EA"/>
    <w:multiLevelType w:val="multilevel"/>
    <w:tmpl w:val="73AFD7EA"/>
    <w:lvl w:ilvl="0" w:tentative="0">
      <w:start w:val="3"/>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Times New Roman" w:hAnsi="Times New Roman" w:eastAsia="宋体" w:cs="Times New Roman"/>
        <w:sz w:val="24"/>
        <w:szCs w:val="28"/>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3"/>
  </w:num>
  <w:num w:numId="2">
    <w:abstractNumId w:val="7"/>
  </w:num>
  <w:num w:numId="3">
    <w:abstractNumId w:val="2"/>
  </w:num>
  <w:num w:numId="4">
    <w:abstractNumId w:val="6"/>
  </w:num>
  <w:num w:numId="5">
    <w:abstractNumId w:val="9"/>
  </w:num>
  <w:num w:numId="6">
    <w:abstractNumId w:val="10"/>
  </w:num>
  <w:num w:numId="7">
    <w:abstractNumId w:val="8"/>
  </w:num>
  <w:num w:numId="8">
    <w:abstractNumId w:val="13"/>
  </w:num>
  <w:num w:numId="9">
    <w:abstractNumId w:val="11"/>
  </w:num>
  <w:num w:numId="10">
    <w:abstractNumId w:val="0"/>
  </w:num>
  <w:num w:numId="11">
    <w:abstractNumId w:val="1"/>
  </w:num>
  <w:num w:numId="12">
    <w:abstractNumId w:val="4"/>
  </w:num>
  <w:num w:numId="13">
    <w:abstractNumId w:val="14"/>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2B"/>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65F"/>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D342B"/>
    <w:rsid w:val="014F6547"/>
    <w:rsid w:val="0151223B"/>
    <w:rsid w:val="015602B3"/>
    <w:rsid w:val="01592BEE"/>
    <w:rsid w:val="015B413C"/>
    <w:rsid w:val="015C6B8A"/>
    <w:rsid w:val="01657634"/>
    <w:rsid w:val="0168153A"/>
    <w:rsid w:val="01682D02"/>
    <w:rsid w:val="01697CD6"/>
    <w:rsid w:val="016B6DD7"/>
    <w:rsid w:val="016C64DB"/>
    <w:rsid w:val="016E34CA"/>
    <w:rsid w:val="01701670"/>
    <w:rsid w:val="0171562A"/>
    <w:rsid w:val="01742CDF"/>
    <w:rsid w:val="0176526D"/>
    <w:rsid w:val="017729EB"/>
    <w:rsid w:val="01780D5C"/>
    <w:rsid w:val="01787308"/>
    <w:rsid w:val="01795231"/>
    <w:rsid w:val="017B5EC6"/>
    <w:rsid w:val="017D0A9F"/>
    <w:rsid w:val="018446AC"/>
    <w:rsid w:val="01855A2F"/>
    <w:rsid w:val="01862D4A"/>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B4ADA"/>
    <w:rsid w:val="01FD0A52"/>
    <w:rsid w:val="01FD363E"/>
    <w:rsid w:val="020012D6"/>
    <w:rsid w:val="02070D9C"/>
    <w:rsid w:val="020A55DB"/>
    <w:rsid w:val="020A7FD5"/>
    <w:rsid w:val="020B3BFF"/>
    <w:rsid w:val="020D2FD3"/>
    <w:rsid w:val="021038F9"/>
    <w:rsid w:val="0211297E"/>
    <w:rsid w:val="02135E22"/>
    <w:rsid w:val="02157D0E"/>
    <w:rsid w:val="02180D49"/>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A2A6D"/>
    <w:rsid w:val="029C4A47"/>
    <w:rsid w:val="02A324D8"/>
    <w:rsid w:val="02A91846"/>
    <w:rsid w:val="02AA0975"/>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887"/>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8F2535"/>
    <w:rsid w:val="039545AE"/>
    <w:rsid w:val="03995C8A"/>
    <w:rsid w:val="03A3285A"/>
    <w:rsid w:val="03A746C2"/>
    <w:rsid w:val="03AA39FA"/>
    <w:rsid w:val="03AD0569"/>
    <w:rsid w:val="03AE35CB"/>
    <w:rsid w:val="03B160FC"/>
    <w:rsid w:val="03B51332"/>
    <w:rsid w:val="03B85350"/>
    <w:rsid w:val="03B85470"/>
    <w:rsid w:val="03B865F3"/>
    <w:rsid w:val="03BA4249"/>
    <w:rsid w:val="03BD598A"/>
    <w:rsid w:val="03BF0371"/>
    <w:rsid w:val="03C40BCB"/>
    <w:rsid w:val="03C5452E"/>
    <w:rsid w:val="03C74561"/>
    <w:rsid w:val="03CC33A8"/>
    <w:rsid w:val="03CE5373"/>
    <w:rsid w:val="03D11A1D"/>
    <w:rsid w:val="03D27DE5"/>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94CEF"/>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5D5638"/>
    <w:rsid w:val="04616CCB"/>
    <w:rsid w:val="046B7F0E"/>
    <w:rsid w:val="046D1831"/>
    <w:rsid w:val="046D380D"/>
    <w:rsid w:val="046E714F"/>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928E7"/>
    <w:rsid w:val="048A0107"/>
    <w:rsid w:val="048A39E3"/>
    <w:rsid w:val="048D6A5B"/>
    <w:rsid w:val="048D7937"/>
    <w:rsid w:val="049238A5"/>
    <w:rsid w:val="04993422"/>
    <w:rsid w:val="049A4FCE"/>
    <w:rsid w:val="049B0E6A"/>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92CF0"/>
    <w:rsid w:val="04CB2A3C"/>
    <w:rsid w:val="04CB390F"/>
    <w:rsid w:val="04CD66F7"/>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700CFA"/>
    <w:rsid w:val="05713D4A"/>
    <w:rsid w:val="05763EF9"/>
    <w:rsid w:val="0578030F"/>
    <w:rsid w:val="057918B2"/>
    <w:rsid w:val="05791F63"/>
    <w:rsid w:val="05795269"/>
    <w:rsid w:val="057B1931"/>
    <w:rsid w:val="057D34E9"/>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51EDE"/>
    <w:rsid w:val="05E6321E"/>
    <w:rsid w:val="05E80906"/>
    <w:rsid w:val="05EB44AF"/>
    <w:rsid w:val="05EF38C1"/>
    <w:rsid w:val="05F04C76"/>
    <w:rsid w:val="05F23FCE"/>
    <w:rsid w:val="05F4677F"/>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B1C21"/>
    <w:rsid w:val="061B43B8"/>
    <w:rsid w:val="061D6A4B"/>
    <w:rsid w:val="0621135E"/>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C4E67"/>
    <w:rsid w:val="063E7244"/>
    <w:rsid w:val="06423400"/>
    <w:rsid w:val="0642499B"/>
    <w:rsid w:val="06434F8E"/>
    <w:rsid w:val="064469F8"/>
    <w:rsid w:val="06494B98"/>
    <w:rsid w:val="06512DD0"/>
    <w:rsid w:val="06520157"/>
    <w:rsid w:val="06522473"/>
    <w:rsid w:val="06556880"/>
    <w:rsid w:val="06594ACC"/>
    <w:rsid w:val="065E23F5"/>
    <w:rsid w:val="065F0CB5"/>
    <w:rsid w:val="066625CB"/>
    <w:rsid w:val="06662E0F"/>
    <w:rsid w:val="06671A53"/>
    <w:rsid w:val="06673295"/>
    <w:rsid w:val="0668138B"/>
    <w:rsid w:val="06686D4D"/>
    <w:rsid w:val="06725C42"/>
    <w:rsid w:val="067411D9"/>
    <w:rsid w:val="067458C8"/>
    <w:rsid w:val="06787FB1"/>
    <w:rsid w:val="067A0082"/>
    <w:rsid w:val="067C70F8"/>
    <w:rsid w:val="067E49F6"/>
    <w:rsid w:val="067F3FA8"/>
    <w:rsid w:val="068275F9"/>
    <w:rsid w:val="068F2552"/>
    <w:rsid w:val="069142D7"/>
    <w:rsid w:val="069154D1"/>
    <w:rsid w:val="069202AE"/>
    <w:rsid w:val="06973A22"/>
    <w:rsid w:val="069A134E"/>
    <w:rsid w:val="069C340F"/>
    <w:rsid w:val="069D55D6"/>
    <w:rsid w:val="069F7B0E"/>
    <w:rsid w:val="06A12BB8"/>
    <w:rsid w:val="06A354BF"/>
    <w:rsid w:val="06A52641"/>
    <w:rsid w:val="06A56623"/>
    <w:rsid w:val="06A6028D"/>
    <w:rsid w:val="06A67127"/>
    <w:rsid w:val="06A6721A"/>
    <w:rsid w:val="06A903D1"/>
    <w:rsid w:val="06AB7BCF"/>
    <w:rsid w:val="06AF2646"/>
    <w:rsid w:val="06B0095A"/>
    <w:rsid w:val="06B277C2"/>
    <w:rsid w:val="06B36660"/>
    <w:rsid w:val="06B36F46"/>
    <w:rsid w:val="06B827CC"/>
    <w:rsid w:val="06BD4549"/>
    <w:rsid w:val="06BD73F8"/>
    <w:rsid w:val="06BF4E14"/>
    <w:rsid w:val="06C16B51"/>
    <w:rsid w:val="06C40DFB"/>
    <w:rsid w:val="06C648B1"/>
    <w:rsid w:val="06CC0115"/>
    <w:rsid w:val="06CF35BD"/>
    <w:rsid w:val="06D42797"/>
    <w:rsid w:val="06D51C0F"/>
    <w:rsid w:val="06DC01AD"/>
    <w:rsid w:val="06E3593C"/>
    <w:rsid w:val="06E4414A"/>
    <w:rsid w:val="06E700FE"/>
    <w:rsid w:val="06E84D75"/>
    <w:rsid w:val="06E91B44"/>
    <w:rsid w:val="06EA4BF3"/>
    <w:rsid w:val="06EB2F6E"/>
    <w:rsid w:val="06EF52F3"/>
    <w:rsid w:val="06F01D0C"/>
    <w:rsid w:val="06F16DC9"/>
    <w:rsid w:val="06F435BD"/>
    <w:rsid w:val="06F55AAE"/>
    <w:rsid w:val="06F8549F"/>
    <w:rsid w:val="06FA4F05"/>
    <w:rsid w:val="06FC1F4A"/>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65E04"/>
    <w:rsid w:val="074D0D08"/>
    <w:rsid w:val="07543D8E"/>
    <w:rsid w:val="075453F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E3153"/>
    <w:rsid w:val="07963CE1"/>
    <w:rsid w:val="07996370"/>
    <w:rsid w:val="079B1264"/>
    <w:rsid w:val="079D08EF"/>
    <w:rsid w:val="07A06FBB"/>
    <w:rsid w:val="07A23DBE"/>
    <w:rsid w:val="07A51428"/>
    <w:rsid w:val="07A5163C"/>
    <w:rsid w:val="07A64C98"/>
    <w:rsid w:val="07A71476"/>
    <w:rsid w:val="07A94019"/>
    <w:rsid w:val="07AB3A30"/>
    <w:rsid w:val="07AC48F6"/>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4E68"/>
    <w:rsid w:val="07D9133A"/>
    <w:rsid w:val="07DB7CB4"/>
    <w:rsid w:val="07DC2AF3"/>
    <w:rsid w:val="07DD339B"/>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75EDC"/>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66E4"/>
    <w:rsid w:val="08754A81"/>
    <w:rsid w:val="08760451"/>
    <w:rsid w:val="087B70D7"/>
    <w:rsid w:val="087B7B82"/>
    <w:rsid w:val="087D6DB6"/>
    <w:rsid w:val="088376E1"/>
    <w:rsid w:val="08841147"/>
    <w:rsid w:val="088560C7"/>
    <w:rsid w:val="08864EC5"/>
    <w:rsid w:val="089557FC"/>
    <w:rsid w:val="08980BAB"/>
    <w:rsid w:val="089E1341"/>
    <w:rsid w:val="089E33C1"/>
    <w:rsid w:val="08A352D2"/>
    <w:rsid w:val="08A44F08"/>
    <w:rsid w:val="08A5384E"/>
    <w:rsid w:val="08A54FD5"/>
    <w:rsid w:val="08AA5BF5"/>
    <w:rsid w:val="08AB6F81"/>
    <w:rsid w:val="08AC49DB"/>
    <w:rsid w:val="08B13699"/>
    <w:rsid w:val="08B14555"/>
    <w:rsid w:val="08B37BFE"/>
    <w:rsid w:val="08B53580"/>
    <w:rsid w:val="08B97EF6"/>
    <w:rsid w:val="08BC0E13"/>
    <w:rsid w:val="08C24EFE"/>
    <w:rsid w:val="08C41E8D"/>
    <w:rsid w:val="08C8577F"/>
    <w:rsid w:val="08C97AC5"/>
    <w:rsid w:val="08CF4392"/>
    <w:rsid w:val="08D03E25"/>
    <w:rsid w:val="08D15830"/>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2E1BD7"/>
    <w:rsid w:val="09336891"/>
    <w:rsid w:val="093677EB"/>
    <w:rsid w:val="093949AD"/>
    <w:rsid w:val="093A5A26"/>
    <w:rsid w:val="093B5A8B"/>
    <w:rsid w:val="093D0096"/>
    <w:rsid w:val="093D5FDF"/>
    <w:rsid w:val="094567E4"/>
    <w:rsid w:val="0946195E"/>
    <w:rsid w:val="0946305C"/>
    <w:rsid w:val="09493002"/>
    <w:rsid w:val="094C661F"/>
    <w:rsid w:val="094E0A67"/>
    <w:rsid w:val="0954740E"/>
    <w:rsid w:val="09597734"/>
    <w:rsid w:val="095B7D7E"/>
    <w:rsid w:val="095C5C89"/>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6266"/>
    <w:rsid w:val="099377DC"/>
    <w:rsid w:val="099C7BBE"/>
    <w:rsid w:val="09A1176D"/>
    <w:rsid w:val="09A211FD"/>
    <w:rsid w:val="09A33D5F"/>
    <w:rsid w:val="09A53D7D"/>
    <w:rsid w:val="09AF512E"/>
    <w:rsid w:val="09B37BE6"/>
    <w:rsid w:val="09B414C1"/>
    <w:rsid w:val="09B64FB7"/>
    <w:rsid w:val="09B70488"/>
    <w:rsid w:val="09B73E57"/>
    <w:rsid w:val="09B85A9D"/>
    <w:rsid w:val="09BE27FD"/>
    <w:rsid w:val="09C22F64"/>
    <w:rsid w:val="09C447FF"/>
    <w:rsid w:val="09C81F1A"/>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366B5"/>
    <w:rsid w:val="0A265C5E"/>
    <w:rsid w:val="0A2866F7"/>
    <w:rsid w:val="0A2D6676"/>
    <w:rsid w:val="0A302E0F"/>
    <w:rsid w:val="0A342A71"/>
    <w:rsid w:val="0A346F85"/>
    <w:rsid w:val="0A3955E8"/>
    <w:rsid w:val="0A3A062B"/>
    <w:rsid w:val="0A3F2D2D"/>
    <w:rsid w:val="0A450D5B"/>
    <w:rsid w:val="0A47596A"/>
    <w:rsid w:val="0A4836E0"/>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924D1"/>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C6E49"/>
    <w:rsid w:val="0AAD70F7"/>
    <w:rsid w:val="0AB10F07"/>
    <w:rsid w:val="0AB562EB"/>
    <w:rsid w:val="0ABA041A"/>
    <w:rsid w:val="0ABA1F3B"/>
    <w:rsid w:val="0ABF3741"/>
    <w:rsid w:val="0AC413CC"/>
    <w:rsid w:val="0AC663BC"/>
    <w:rsid w:val="0AC93290"/>
    <w:rsid w:val="0AC93C0A"/>
    <w:rsid w:val="0AC97E3D"/>
    <w:rsid w:val="0ACA3A43"/>
    <w:rsid w:val="0ACF3B75"/>
    <w:rsid w:val="0AD9208F"/>
    <w:rsid w:val="0AD94449"/>
    <w:rsid w:val="0ADF3568"/>
    <w:rsid w:val="0AE0396D"/>
    <w:rsid w:val="0AE17B6E"/>
    <w:rsid w:val="0AE31E59"/>
    <w:rsid w:val="0AE422B6"/>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D323F"/>
    <w:rsid w:val="0B0E13D6"/>
    <w:rsid w:val="0B0F2142"/>
    <w:rsid w:val="0B122F8F"/>
    <w:rsid w:val="0B131432"/>
    <w:rsid w:val="0B150FE0"/>
    <w:rsid w:val="0B176325"/>
    <w:rsid w:val="0B1A291A"/>
    <w:rsid w:val="0B21391B"/>
    <w:rsid w:val="0B22625B"/>
    <w:rsid w:val="0B2263F4"/>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505F3"/>
    <w:rsid w:val="0B8A6A06"/>
    <w:rsid w:val="0B8B3A2B"/>
    <w:rsid w:val="0B8B3A3B"/>
    <w:rsid w:val="0BA158F6"/>
    <w:rsid w:val="0BA37183"/>
    <w:rsid w:val="0BA4413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1788A"/>
    <w:rsid w:val="0BE32C06"/>
    <w:rsid w:val="0BE879AE"/>
    <w:rsid w:val="0BE87E03"/>
    <w:rsid w:val="0BE94EB9"/>
    <w:rsid w:val="0BEC24ED"/>
    <w:rsid w:val="0BED5C90"/>
    <w:rsid w:val="0BEE012C"/>
    <w:rsid w:val="0BEF777C"/>
    <w:rsid w:val="0BF54038"/>
    <w:rsid w:val="0BF92B91"/>
    <w:rsid w:val="0BFA2CD3"/>
    <w:rsid w:val="0BFD46D3"/>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136C"/>
    <w:rsid w:val="0CB6695E"/>
    <w:rsid w:val="0CB87B2B"/>
    <w:rsid w:val="0CBF3DD1"/>
    <w:rsid w:val="0CBF4267"/>
    <w:rsid w:val="0CCD0BC1"/>
    <w:rsid w:val="0CCE5EB0"/>
    <w:rsid w:val="0CD046CA"/>
    <w:rsid w:val="0CD21CB7"/>
    <w:rsid w:val="0CD624D0"/>
    <w:rsid w:val="0CDB3A09"/>
    <w:rsid w:val="0CE55947"/>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97DF3"/>
    <w:rsid w:val="0D2B3E52"/>
    <w:rsid w:val="0D2C6BEA"/>
    <w:rsid w:val="0D2C779E"/>
    <w:rsid w:val="0D361C4E"/>
    <w:rsid w:val="0D385411"/>
    <w:rsid w:val="0D3A2D89"/>
    <w:rsid w:val="0D3D47F7"/>
    <w:rsid w:val="0D4419E9"/>
    <w:rsid w:val="0D455C6C"/>
    <w:rsid w:val="0D483CBE"/>
    <w:rsid w:val="0D4B0120"/>
    <w:rsid w:val="0D4C2168"/>
    <w:rsid w:val="0D5235A5"/>
    <w:rsid w:val="0D5958B3"/>
    <w:rsid w:val="0D5B27B9"/>
    <w:rsid w:val="0D5D1B45"/>
    <w:rsid w:val="0D5D6F30"/>
    <w:rsid w:val="0D5E254C"/>
    <w:rsid w:val="0D6712AB"/>
    <w:rsid w:val="0D672C88"/>
    <w:rsid w:val="0D6924B4"/>
    <w:rsid w:val="0D695B96"/>
    <w:rsid w:val="0D6B3AC1"/>
    <w:rsid w:val="0D6C0B47"/>
    <w:rsid w:val="0D6D7CC3"/>
    <w:rsid w:val="0D730714"/>
    <w:rsid w:val="0D752347"/>
    <w:rsid w:val="0D7A6E95"/>
    <w:rsid w:val="0D7C35D6"/>
    <w:rsid w:val="0D7D5968"/>
    <w:rsid w:val="0D7E7590"/>
    <w:rsid w:val="0D804459"/>
    <w:rsid w:val="0D8107A5"/>
    <w:rsid w:val="0D882377"/>
    <w:rsid w:val="0D8952C8"/>
    <w:rsid w:val="0D895B03"/>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BD5665"/>
    <w:rsid w:val="0DC54C80"/>
    <w:rsid w:val="0DC75B70"/>
    <w:rsid w:val="0DC8160A"/>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A4621"/>
    <w:rsid w:val="0DEE2354"/>
    <w:rsid w:val="0DF42B16"/>
    <w:rsid w:val="0DF91C50"/>
    <w:rsid w:val="0DF95E14"/>
    <w:rsid w:val="0DFB445F"/>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3E50AB"/>
    <w:rsid w:val="0E401365"/>
    <w:rsid w:val="0E49067F"/>
    <w:rsid w:val="0E4A2328"/>
    <w:rsid w:val="0E4A5F38"/>
    <w:rsid w:val="0E5916FF"/>
    <w:rsid w:val="0E594261"/>
    <w:rsid w:val="0E5B15B0"/>
    <w:rsid w:val="0E5C0A8E"/>
    <w:rsid w:val="0E5C74E8"/>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97236"/>
    <w:rsid w:val="0F0A399D"/>
    <w:rsid w:val="0F0B1157"/>
    <w:rsid w:val="0F124DFB"/>
    <w:rsid w:val="0F151162"/>
    <w:rsid w:val="0F2362B9"/>
    <w:rsid w:val="0F2566D6"/>
    <w:rsid w:val="0F297188"/>
    <w:rsid w:val="0F334F38"/>
    <w:rsid w:val="0F375FA0"/>
    <w:rsid w:val="0F3823EB"/>
    <w:rsid w:val="0F390E3D"/>
    <w:rsid w:val="0F3922C0"/>
    <w:rsid w:val="0F3B0B76"/>
    <w:rsid w:val="0F3B729A"/>
    <w:rsid w:val="0F3C4735"/>
    <w:rsid w:val="0F3D04E9"/>
    <w:rsid w:val="0F440231"/>
    <w:rsid w:val="0F444E15"/>
    <w:rsid w:val="0F477871"/>
    <w:rsid w:val="0F477973"/>
    <w:rsid w:val="0F4A2105"/>
    <w:rsid w:val="0F4B3454"/>
    <w:rsid w:val="0F5113C9"/>
    <w:rsid w:val="0F521E2E"/>
    <w:rsid w:val="0F527028"/>
    <w:rsid w:val="0F5313BA"/>
    <w:rsid w:val="0F5732FA"/>
    <w:rsid w:val="0F5801E9"/>
    <w:rsid w:val="0F5B1E08"/>
    <w:rsid w:val="0F5C4C71"/>
    <w:rsid w:val="0F5E7046"/>
    <w:rsid w:val="0F5F4B3E"/>
    <w:rsid w:val="0F675A2D"/>
    <w:rsid w:val="0F6775E3"/>
    <w:rsid w:val="0F6A69AA"/>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0FFF1E40"/>
    <w:rsid w:val="100175BA"/>
    <w:rsid w:val="1002491E"/>
    <w:rsid w:val="10051154"/>
    <w:rsid w:val="1006116B"/>
    <w:rsid w:val="10082347"/>
    <w:rsid w:val="100A6187"/>
    <w:rsid w:val="100B3118"/>
    <w:rsid w:val="100C62B7"/>
    <w:rsid w:val="100D77C9"/>
    <w:rsid w:val="100E368A"/>
    <w:rsid w:val="100F5ECF"/>
    <w:rsid w:val="10107999"/>
    <w:rsid w:val="10123E88"/>
    <w:rsid w:val="10173B20"/>
    <w:rsid w:val="10190408"/>
    <w:rsid w:val="101B4B2B"/>
    <w:rsid w:val="101D4E9E"/>
    <w:rsid w:val="101F0D91"/>
    <w:rsid w:val="10214450"/>
    <w:rsid w:val="102157F3"/>
    <w:rsid w:val="10264A7E"/>
    <w:rsid w:val="102928F7"/>
    <w:rsid w:val="102A20E7"/>
    <w:rsid w:val="102C15EF"/>
    <w:rsid w:val="10320633"/>
    <w:rsid w:val="103273A4"/>
    <w:rsid w:val="10340906"/>
    <w:rsid w:val="10387B97"/>
    <w:rsid w:val="103A574D"/>
    <w:rsid w:val="103B02B2"/>
    <w:rsid w:val="103C0D06"/>
    <w:rsid w:val="10410667"/>
    <w:rsid w:val="104445C3"/>
    <w:rsid w:val="10463F92"/>
    <w:rsid w:val="1046747A"/>
    <w:rsid w:val="1048111A"/>
    <w:rsid w:val="104A2D6A"/>
    <w:rsid w:val="104B3FBB"/>
    <w:rsid w:val="104C493E"/>
    <w:rsid w:val="104F503B"/>
    <w:rsid w:val="105F040F"/>
    <w:rsid w:val="106104D8"/>
    <w:rsid w:val="10614B4D"/>
    <w:rsid w:val="106807AB"/>
    <w:rsid w:val="10682153"/>
    <w:rsid w:val="10697106"/>
    <w:rsid w:val="106A2F86"/>
    <w:rsid w:val="106C4A5C"/>
    <w:rsid w:val="106E50C7"/>
    <w:rsid w:val="106F37A6"/>
    <w:rsid w:val="106F4BF2"/>
    <w:rsid w:val="10720A1D"/>
    <w:rsid w:val="10774DDF"/>
    <w:rsid w:val="1079125F"/>
    <w:rsid w:val="10795FF0"/>
    <w:rsid w:val="107A7379"/>
    <w:rsid w:val="107E7E13"/>
    <w:rsid w:val="10800B16"/>
    <w:rsid w:val="10801857"/>
    <w:rsid w:val="108065DC"/>
    <w:rsid w:val="108D69C7"/>
    <w:rsid w:val="10937178"/>
    <w:rsid w:val="10945A26"/>
    <w:rsid w:val="10953E28"/>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E3224"/>
    <w:rsid w:val="10C35654"/>
    <w:rsid w:val="10C36361"/>
    <w:rsid w:val="10C93451"/>
    <w:rsid w:val="10D35981"/>
    <w:rsid w:val="10D704FD"/>
    <w:rsid w:val="10D83CD4"/>
    <w:rsid w:val="10DC17FC"/>
    <w:rsid w:val="10DF10E1"/>
    <w:rsid w:val="10E208AE"/>
    <w:rsid w:val="10E4562F"/>
    <w:rsid w:val="10E6673F"/>
    <w:rsid w:val="10E74393"/>
    <w:rsid w:val="10E80D8D"/>
    <w:rsid w:val="10E96507"/>
    <w:rsid w:val="10ED79A2"/>
    <w:rsid w:val="10EE5DD1"/>
    <w:rsid w:val="10EF19E4"/>
    <w:rsid w:val="10EF5F16"/>
    <w:rsid w:val="10F007D8"/>
    <w:rsid w:val="10F046AC"/>
    <w:rsid w:val="10F11BFF"/>
    <w:rsid w:val="11021C6A"/>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F025F"/>
    <w:rsid w:val="11330D3D"/>
    <w:rsid w:val="11347954"/>
    <w:rsid w:val="11366FA7"/>
    <w:rsid w:val="113B4AF5"/>
    <w:rsid w:val="113D45ED"/>
    <w:rsid w:val="11487E4B"/>
    <w:rsid w:val="11495DB7"/>
    <w:rsid w:val="114A19F5"/>
    <w:rsid w:val="114B2327"/>
    <w:rsid w:val="114B246A"/>
    <w:rsid w:val="114B7970"/>
    <w:rsid w:val="11506598"/>
    <w:rsid w:val="11537076"/>
    <w:rsid w:val="11566C12"/>
    <w:rsid w:val="11573D69"/>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046FA"/>
    <w:rsid w:val="12053DDA"/>
    <w:rsid w:val="12094E47"/>
    <w:rsid w:val="120A16E2"/>
    <w:rsid w:val="120E0CD4"/>
    <w:rsid w:val="12117961"/>
    <w:rsid w:val="1212107A"/>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4D1C"/>
    <w:rsid w:val="12540DA1"/>
    <w:rsid w:val="125479A9"/>
    <w:rsid w:val="125B084E"/>
    <w:rsid w:val="125D6D5F"/>
    <w:rsid w:val="12612D93"/>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87148"/>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537D38"/>
    <w:rsid w:val="135A55B0"/>
    <w:rsid w:val="135C41A2"/>
    <w:rsid w:val="135D0726"/>
    <w:rsid w:val="135D36C3"/>
    <w:rsid w:val="1363772A"/>
    <w:rsid w:val="13645B2A"/>
    <w:rsid w:val="13646D5E"/>
    <w:rsid w:val="13667089"/>
    <w:rsid w:val="13691B25"/>
    <w:rsid w:val="1382119A"/>
    <w:rsid w:val="138328A5"/>
    <w:rsid w:val="13834E54"/>
    <w:rsid w:val="138C3BB4"/>
    <w:rsid w:val="138D1B3C"/>
    <w:rsid w:val="138E21E8"/>
    <w:rsid w:val="138F1AA2"/>
    <w:rsid w:val="139703D5"/>
    <w:rsid w:val="139F1DB7"/>
    <w:rsid w:val="13A649E8"/>
    <w:rsid w:val="13AA36AA"/>
    <w:rsid w:val="13AA72DA"/>
    <w:rsid w:val="13AE4A5F"/>
    <w:rsid w:val="13AF27E1"/>
    <w:rsid w:val="13B106F0"/>
    <w:rsid w:val="13B37952"/>
    <w:rsid w:val="13B37985"/>
    <w:rsid w:val="13B4098E"/>
    <w:rsid w:val="13B62320"/>
    <w:rsid w:val="13B807A4"/>
    <w:rsid w:val="13B868D8"/>
    <w:rsid w:val="13BA3727"/>
    <w:rsid w:val="13BB59BA"/>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932C7"/>
    <w:rsid w:val="13EB1580"/>
    <w:rsid w:val="13ED4B00"/>
    <w:rsid w:val="13EF1BCA"/>
    <w:rsid w:val="13F06043"/>
    <w:rsid w:val="13F253BC"/>
    <w:rsid w:val="13F639DE"/>
    <w:rsid w:val="13F775B3"/>
    <w:rsid w:val="13F92CC0"/>
    <w:rsid w:val="13FE02DC"/>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3294"/>
    <w:rsid w:val="14284AF8"/>
    <w:rsid w:val="142E1718"/>
    <w:rsid w:val="14321BD7"/>
    <w:rsid w:val="143533E9"/>
    <w:rsid w:val="14353A7B"/>
    <w:rsid w:val="143724FF"/>
    <w:rsid w:val="14390CA3"/>
    <w:rsid w:val="143B3472"/>
    <w:rsid w:val="143D3421"/>
    <w:rsid w:val="1443416E"/>
    <w:rsid w:val="144546F2"/>
    <w:rsid w:val="14493FB1"/>
    <w:rsid w:val="144C69BB"/>
    <w:rsid w:val="144D7A2D"/>
    <w:rsid w:val="144F3A15"/>
    <w:rsid w:val="144F6AD5"/>
    <w:rsid w:val="145075DE"/>
    <w:rsid w:val="145437A3"/>
    <w:rsid w:val="145626BF"/>
    <w:rsid w:val="145640A8"/>
    <w:rsid w:val="145D7420"/>
    <w:rsid w:val="145E07D6"/>
    <w:rsid w:val="14603F84"/>
    <w:rsid w:val="14654D1B"/>
    <w:rsid w:val="14687805"/>
    <w:rsid w:val="14690739"/>
    <w:rsid w:val="146A17AC"/>
    <w:rsid w:val="146B1CFB"/>
    <w:rsid w:val="146D65F1"/>
    <w:rsid w:val="146F7781"/>
    <w:rsid w:val="14740A38"/>
    <w:rsid w:val="14793117"/>
    <w:rsid w:val="147C4CAE"/>
    <w:rsid w:val="147C6B1F"/>
    <w:rsid w:val="1483745E"/>
    <w:rsid w:val="148531C1"/>
    <w:rsid w:val="14867DC8"/>
    <w:rsid w:val="14871EAE"/>
    <w:rsid w:val="14876C9E"/>
    <w:rsid w:val="148A1BBB"/>
    <w:rsid w:val="148D7803"/>
    <w:rsid w:val="148E4928"/>
    <w:rsid w:val="14963D9A"/>
    <w:rsid w:val="149746A4"/>
    <w:rsid w:val="14997436"/>
    <w:rsid w:val="14A21257"/>
    <w:rsid w:val="14A5629F"/>
    <w:rsid w:val="14AA0A69"/>
    <w:rsid w:val="14AD5664"/>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94661"/>
    <w:rsid w:val="14FA0D9C"/>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D2BFF"/>
    <w:rsid w:val="151E65DD"/>
    <w:rsid w:val="151F6DBF"/>
    <w:rsid w:val="1521576A"/>
    <w:rsid w:val="15231E2E"/>
    <w:rsid w:val="15262908"/>
    <w:rsid w:val="1529226A"/>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D4772"/>
    <w:rsid w:val="155E4780"/>
    <w:rsid w:val="1560174E"/>
    <w:rsid w:val="15603D0F"/>
    <w:rsid w:val="156103E7"/>
    <w:rsid w:val="15620F41"/>
    <w:rsid w:val="15635D03"/>
    <w:rsid w:val="156B12F9"/>
    <w:rsid w:val="15703F98"/>
    <w:rsid w:val="15707C42"/>
    <w:rsid w:val="15746741"/>
    <w:rsid w:val="157723EB"/>
    <w:rsid w:val="157876E1"/>
    <w:rsid w:val="15792A24"/>
    <w:rsid w:val="157A691A"/>
    <w:rsid w:val="157C1BBE"/>
    <w:rsid w:val="157C22B2"/>
    <w:rsid w:val="157E2B8D"/>
    <w:rsid w:val="157F3370"/>
    <w:rsid w:val="15821A45"/>
    <w:rsid w:val="15825A68"/>
    <w:rsid w:val="15870153"/>
    <w:rsid w:val="1587641C"/>
    <w:rsid w:val="1587719E"/>
    <w:rsid w:val="158A42AA"/>
    <w:rsid w:val="158B6F74"/>
    <w:rsid w:val="159109A5"/>
    <w:rsid w:val="159362F5"/>
    <w:rsid w:val="159866E2"/>
    <w:rsid w:val="1599485C"/>
    <w:rsid w:val="159A0A7B"/>
    <w:rsid w:val="159A616F"/>
    <w:rsid w:val="15A22366"/>
    <w:rsid w:val="15A63099"/>
    <w:rsid w:val="15A970F2"/>
    <w:rsid w:val="15AA7715"/>
    <w:rsid w:val="15AC1E89"/>
    <w:rsid w:val="15AC1F1E"/>
    <w:rsid w:val="15AD3AEC"/>
    <w:rsid w:val="15B02021"/>
    <w:rsid w:val="15B274DC"/>
    <w:rsid w:val="15B360F1"/>
    <w:rsid w:val="15B51F07"/>
    <w:rsid w:val="15B64890"/>
    <w:rsid w:val="15B7100A"/>
    <w:rsid w:val="15B80504"/>
    <w:rsid w:val="15BB4370"/>
    <w:rsid w:val="15BB7F8A"/>
    <w:rsid w:val="15BE6AB4"/>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92C7D"/>
    <w:rsid w:val="15FD5F97"/>
    <w:rsid w:val="15FF2443"/>
    <w:rsid w:val="15FF4438"/>
    <w:rsid w:val="16025032"/>
    <w:rsid w:val="160301A1"/>
    <w:rsid w:val="16037314"/>
    <w:rsid w:val="16053669"/>
    <w:rsid w:val="16085527"/>
    <w:rsid w:val="160856FA"/>
    <w:rsid w:val="161409A3"/>
    <w:rsid w:val="16223FCC"/>
    <w:rsid w:val="16293050"/>
    <w:rsid w:val="16314558"/>
    <w:rsid w:val="16343187"/>
    <w:rsid w:val="163E0BDC"/>
    <w:rsid w:val="164129F4"/>
    <w:rsid w:val="164219DA"/>
    <w:rsid w:val="16446CE1"/>
    <w:rsid w:val="16462124"/>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C3BD2"/>
    <w:rsid w:val="166D0B60"/>
    <w:rsid w:val="167457C0"/>
    <w:rsid w:val="1675529E"/>
    <w:rsid w:val="16755839"/>
    <w:rsid w:val="16764363"/>
    <w:rsid w:val="167E3964"/>
    <w:rsid w:val="167F4E63"/>
    <w:rsid w:val="16837FDA"/>
    <w:rsid w:val="1684192E"/>
    <w:rsid w:val="168B1464"/>
    <w:rsid w:val="168B3112"/>
    <w:rsid w:val="168E0B29"/>
    <w:rsid w:val="169706AE"/>
    <w:rsid w:val="16971202"/>
    <w:rsid w:val="169763C8"/>
    <w:rsid w:val="1698607C"/>
    <w:rsid w:val="169D4DEC"/>
    <w:rsid w:val="16A03605"/>
    <w:rsid w:val="16A40230"/>
    <w:rsid w:val="16A6025D"/>
    <w:rsid w:val="16A90670"/>
    <w:rsid w:val="16AB69E0"/>
    <w:rsid w:val="16AD2E93"/>
    <w:rsid w:val="16AE155D"/>
    <w:rsid w:val="16B0165F"/>
    <w:rsid w:val="16B60E24"/>
    <w:rsid w:val="16B73278"/>
    <w:rsid w:val="16B95ED8"/>
    <w:rsid w:val="16BF743B"/>
    <w:rsid w:val="16C01B34"/>
    <w:rsid w:val="16C0346B"/>
    <w:rsid w:val="16C31989"/>
    <w:rsid w:val="16C44A98"/>
    <w:rsid w:val="16C91F5D"/>
    <w:rsid w:val="16CB3473"/>
    <w:rsid w:val="16CC32EB"/>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02A6D"/>
    <w:rsid w:val="1701453A"/>
    <w:rsid w:val="170254B7"/>
    <w:rsid w:val="17036CB3"/>
    <w:rsid w:val="170524AD"/>
    <w:rsid w:val="170945A3"/>
    <w:rsid w:val="170976C9"/>
    <w:rsid w:val="170D6B49"/>
    <w:rsid w:val="171458E9"/>
    <w:rsid w:val="171476E9"/>
    <w:rsid w:val="17191FB1"/>
    <w:rsid w:val="171B7E32"/>
    <w:rsid w:val="171C44F8"/>
    <w:rsid w:val="171E610A"/>
    <w:rsid w:val="171F37D7"/>
    <w:rsid w:val="1725540B"/>
    <w:rsid w:val="17351DB9"/>
    <w:rsid w:val="17393127"/>
    <w:rsid w:val="173E2ACA"/>
    <w:rsid w:val="17422E25"/>
    <w:rsid w:val="17423214"/>
    <w:rsid w:val="17440F4E"/>
    <w:rsid w:val="17461694"/>
    <w:rsid w:val="17485D50"/>
    <w:rsid w:val="174903F6"/>
    <w:rsid w:val="174D4326"/>
    <w:rsid w:val="174E2E9F"/>
    <w:rsid w:val="17503548"/>
    <w:rsid w:val="17546AD9"/>
    <w:rsid w:val="175D4799"/>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675B3"/>
    <w:rsid w:val="17794523"/>
    <w:rsid w:val="177B12E6"/>
    <w:rsid w:val="177C6A66"/>
    <w:rsid w:val="177E07FC"/>
    <w:rsid w:val="17805B1E"/>
    <w:rsid w:val="17813432"/>
    <w:rsid w:val="17835639"/>
    <w:rsid w:val="17841F6F"/>
    <w:rsid w:val="17855600"/>
    <w:rsid w:val="17860A46"/>
    <w:rsid w:val="178A208F"/>
    <w:rsid w:val="178A3414"/>
    <w:rsid w:val="178C0113"/>
    <w:rsid w:val="178D1B35"/>
    <w:rsid w:val="178D6858"/>
    <w:rsid w:val="178F5437"/>
    <w:rsid w:val="17913304"/>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EE3A14"/>
    <w:rsid w:val="18F31374"/>
    <w:rsid w:val="18F324CC"/>
    <w:rsid w:val="18F44372"/>
    <w:rsid w:val="18F57DBA"/>
    <w:rsid w:val="18F66DE3"/>
    <w:rsid w:val="18F76747"/>
    <w:rsid w:val="18F9060E"/>
    <w:rsid w:val="18F92917"/>
    <w:rsid w:val="18FA727E"/>
    <w:rsid w:val="18FA7D3B"/>
    <w:rsid w:val="18FC5F40"/>
    <w:rsid w:val="190071DD"/>
    <w:rsid w:val="19010A47"/>
    <w:rsid w:val="19015F39"/>
    <w:rsid w:val="190201A1"/>
    <w:rsid w:val="19052326"/>
    <w:rsid w:val="19087E5A"/>
    <w:rsid w:val="190A632C"/>
    <w:rsid w:val="190B5982"/>
    <w:rsid w:val="190E24A2"/>
    <w:rsid w:val="190F1397"/>
    <w:rsid w:val="190F246E"/>
    <w:rsid w:val="1910107B"/>
    <w:rsid w:val="19125294"/>
    <w:rsid w:val="191672E7"/>
    <w:rsid w:val="191C0F5C"/>
    <w:rsid w:val="192125F0"/>
    <w:rsid w:val="1922231E"/>
    <w:rsid w:val="1925257B"/>
    <w:rsid w:val="19275A0E"/>
    <w:rsid w:val="19285212"/>
    <w:rsid w:val="192B582F"/>
    <w:rsid w:val="192C2E02"/>
    <w:rsid w:val="192E1FEA"/>
    <w:rsid w:val="192F2041"/>
    <w:rsid w:val="19371E2F"/>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6E88"/>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B0EFE"/>
    <w:rsid w:val="19CD6271"/>
    <w:rsid w:val="19D03B31"/>
    <w:rsid w:val="19D56B1A"/>
    <w:rsid w:val="19D83EBC"/>
    <w:rsid w:val="19DC2EF0"/>
    <w:rsid w:val="19E01BE1"/>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86C55"/>
    <w:rsid w:val="1A0C0B4A"/>
    <w:rsid w:val="1A113BE6"/>
    <w:rsid w:val="1A15299D"/>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2B3A"/>
    <w:rsid w:val="1A3B623D"/>
    <w:rsid w:val="1A3B76BE"/>
    <w:rsid w:val="1A3D274F"/>
    <w:rsid w:val="1A3F4787"/>
    <w:rsid w:val="1A421660"/>
    <w:rsid w:val="1A4243B2"/>
    <w:rsid w:val="1A4351F7"/>
    <w:rsid w:val="1A435BC2"/>
    <w:rsid w:val="1A4634DE"/>
    <w:rsid w:val="1A477904"/>
    <w:rsid w:val="1A4D3567"/>
    <w:rsid w:val="1A5576E1"/>
    <w:rsid w:val="1A574E8B"/>
    <w:rsid w:val="1A5B332D"/>
    <w:rsid w:val="1A5D418F"/>
    <w:rsid w:val="1A5E1696"/>
    <w:rsid w:val="1A605DAC"/>
    <w:rsid w:val="1A611FA3"/>
    <w:rsid w:val="1A644E8B"/>
    <w:rsid w:val="1A6670AF"/>
    <w:rsid w:val="1A671279"/>
    <w:rsid w:val="1A713623"/>
    <w:rsid w:val="1A72738E"/>
    <w:rsid w:val="1A7401C9"/>
    <w:rsid w:val="1A746F7C"/>
    <w:rsid w:val="1A767810"/>
    <w:rsid w:val="1A7730FC"/>
    <w:rsid w:val="1A794088"/>
    <w:rsid w:val="1A795091"/>
    <w:rsid w:val="1A7C1335"/>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81D7B"/>
    <w:rsid w:val="1A991640"/>
    <w:rsid w:val="1A9C1ED4"/>
    <w:rsid w:val="1AA33EAF"/>
    <w:rsid w:val="1AA95DF0"/>
    <w:rsid w:val="1AA964C5"/>
    <w:rsid w:val="1AAA22C3"/>
    <w:rsid w:val="1AAC5EBD"/>
    <w:rsid w:val="1AB31350"/>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82C66"/>
    <w:rsid w:val="1AEA4F0C"/>
    <w:rsid w:val="1AEB591C"/>
    <w:rsid w:val="1AED0842"/>
    <w:rsid w:val="1AED74F6"/>
    <w:rsid w:val="1AF0427D"/>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65FC9"/>
    <w:rsid w:val="1B277C6B"/>
    <w:rsid w:val="1B3A63E1"/>
    <w:rsid w:val="1B3A6551"/>
    <w:rsid w:val="1B3D6F5D"/>
    <w:rsid w:val="1B3D7490"/>
    <w:rsid w:val="1B3F232C"/>
    <w:rsid w:val="1B3F270D"/>
    <w:rsid w:val="1B40255A"/>
    <w:rsid w:val="1B421FCA"/>
    <w:rsid w:val="1B435435"/>
    <w:rsid w:val="1B487E3D"/>
    <w:rsid w:val="1B5244B6"/>
    <w:rsid w:val="1B527FB6"/>
    <w:rsid w:val="1B55429F"/>
    <w:rsid w:val="1B5C4B10"/>
    <w:rsid w:val="1B5F774C"/>
    <w:rsid w:val="1B623C43"/>
    <w:rsid w:val="1B6661AC"/>
    <w:rsid w:val="1B6D3289"/>
    <w:rsid w:val="1B6F310C"/>
    <w:rsid w:val="1B702702"/>
    <w:rsid w:val="1B71108F"/>
    <w:rsid w:val="1B7A4F2B"/>
    <w:rsid w:val="1B7D6CAD"/>
    <w:rsid w:val="1B7E0DF5"/>
    <w:rsid w:val="1B7E34BD"/>
    <w:rsid w:val="1B8046D7"/>
    <w:rsid w:val="1B8B5725"/>
    <w:rsid w:val="1B9078F4"/>
    <w:rsid w:val="1B966CFD"/>
    <w:rsid w:val="1B971428"/>
    <w:rsid w:val="1B9D15E7"/>
    <w:rsid w:val="1B9D1CD8"/>
    <w:rsid w:val="1BA11EB8"/>
    <w:rsid w:val="1BA43A43"/>
    <w:rsid w:val="1BA65768"/>
    <w:rsid w:val="1BA85AE3"/>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3C4A"/>
    <w:rsid w:val="1C316A8C"/>
    <w:rsid w:val="1C327EC7"/>
    <w:rsid w:val="1C352099"/>
    <w:rsid w:val="1C353688"/>
    <w:rsid w:val="1C3A014D"/>
    <w:rsid w:val="1C3B6C23"/>
    <w:rsid w:val="1C3D2E5C"/>
    <w:rsid w:val="1C3E5896"/>
    <w:rsid w:val="1C412572"/>
    <w:rsid w:val="1C4133DD"/>
    <w:rsid w:val="1C426C60"/>
    <w:rsid w:val="1C436AD1"/>
    <w:rsid w:val="1C440B0F"/>
    <w:rsid w:val="1C4863EB"/>
    <w:rsid w:val="1C4A4C0A"/>
    <w:rsid w:val="1C4B7654"/>
    <w:rsid w:val="1C4E6DE1"/>
    <w:rsid w:val="1C5124C4"/>
    <w:rsid w:val="1C525D8A"/>
    <w:rsid w:val="1C553AF0"/>
    <w:rsid w:val="1C55783B"/>
    <w:rsid w:val="1C600A56"/>
    <w:rsid w:val="1C606999"/>
    <w:rsid w:val="1C650DE0"/>
    <w:rsid w:val="1C65681C"/>
    <w:rsid w:val="1C6611FF"/>
    <w:rsid w:val="1C667A4D"/>
    <w:rsid w:val="1C6B686A"/>
    <w:rsid w:val="1C733A6E"/>
    <w:rsid w:val="1C787478"/>
    <w:rsid w:val="1C7911F5"/>
    <w:rsid w:val="1C7A4B33"/>
    <w:rsid w:val="1C7E582F"/>
    <w:rsid w:val="1C87286B"/>
    <w:rsid w:val="1C87533D"/>
    <w:rsid w:val="1C8854E2"/>
    <w:rsid w:val="1C8A3DE3"/>
    <w:rsid w:val="1C8B0CC4"/>
    <w:rsid w:val="1C8E68B1"/>
    <w:rsid w:val="1C934479"/>
    <w:rsid w:val="1C943E5B"/>
    <w:rsid w:val="1C946042"/>
    <w:rsid w:val="1C973362"/>
    <w:rsid w:val="1C9A1338"/>
    <w:rsid w:val="1C9C1C3D"/>
    <w:rsid w:val="1C9D7804"/>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C1FFD"/>
    <w:rsid w:val="1CBD037E"/>
    <w:rsid w:val="1CBF31C9"/>
    <w:rsid w:val="1CC22612"/>
    <w:rsid w:val="1CC448CE"/>
    <w:rsid w:val="1CCB2C88"/>
    <w:rsid w:val="1CCE31C9"/>
    <w:rsid w:val="1CD16FC7"/>
    <w:rsid w:val="1CD46190"/>
    <w:rsid w:val="1CD70F2F"/>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4179BE"/>
    <w:rsid w:val="1D42232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70796F"/>
    <w:rsid w:val="1D7917EF"/>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34A1"/>
    <w:rsid w:val="1E074620"/>
    <w:rsid w:val="1E09388F"/>
    <w:rsid w:val="1E0A63E5"/>
    <w:rsid w:val="1E0B21F5"/>
    <w:rsid w:val="1E0B3CFF"/>
    <w:rsid w:val="1E0B5255"/>
    <w:rsid w:val="1E0B7097"/>
    <w:rsid w:val="1E0F1C2C"/>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C7A37"/>
    <w:rsid w:val="1E7D557D"/>
    <w:rsid w:val="1E7E4CB6"/>
    <w:rsid w:val="1E7E5286"/>
    <w:rsid w:val="1E8209D7"/>
    <w:rsid w:val="1E83199F"/>
    <w:rsid w:val="1E833E6E"/>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D759C"/>
    <w:rsid w:val="1ECE1B03"/>
    <w:rsid w:val="1ECE723E"/>
    <w:rsid w:val="1ED47EAE"/>
    <w:rsid w:val="1ED55822"/>
    <w:rsid w:val="1EDA0262"/>
    <w:rsid w:val="1EE133D1"/>
    <w:rsid w:val="1EE161B2"/>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2D7DE6"/>
    <w:rsid w:val="1F2E587C"/>
    <w:rsid w:val="1F2F0DE0"/>
    <w:rsid w:val="1F302536"/>
    <w:rsid w:val="1F310F7D"/>
    <w:rsid w:val="1F370F08"/>
    <w:rsid w:val="1F3965C5"/>
    <w:rsid w:val="1F3F7CB8"/>
    <w:rsid w:val="1F436A7F"/>
    <w:rsid w:val="1F4377ED"/>
    <w:rsid w:val="1F4446D7"/>
    <w:rsid w:val="1F454DA9"/>
    <w:rsid w:val="1F457859"/>
    <w:rsid w:val="1F477D89"/>
    <w:rsid w:val="1F487569"/>
    <w:rsid w:val="1F4C2218"/>
    <w:rsid w:val="1F4D4E4B"/>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64FF3"/>
    <w:rsid w:val="1F865E74"/>
    <w:rsid w:val="1F875566"/>
    <w:rsid w:val="1F8D205B"/>
    <w:rsid w:val="1F8E4E2E"/>
    <w:rsid w:val="1F927123"/>
    <w:rsid w:val="1F9A2894"/>
    <w:rsid w:val="1F9A4525"/>
    <w:rsid w:val="1F9A7DD3"/>
    <w:rsid w:val="1FA35CF7"/>
    <w:rsid w:val="1FA71D9E"/>
    <w:rsid w:val="1FAA54F7"/>
    <w:rsid w:val="1FB234B9"/>
    <w:rsid w:val="1FB506E2"/>
    <w:rsid w:val="1FB842D2"/>
    <w:rsid w:val="1FB966AC"/>
    <w:rsid w:val="1FBB4F14"/>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029F7"/>
    <w:rsid w:val="1FF4310A"/>
    <w:rsid w:val="1FF70657"/>
    <w:rsid w:val="1FF84AD8"/>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186CE7"/>
    <w:rsid w:val="20217602"/>
    <w:rsid w:val="20243140"/>
    <w:rsid w:val="20256BF3"/>
    <w:rsid w:val="202904CB"/>
    <w:rsid w:val="202A66BB"/>
    <w:rsid w:val="202D13ED"/>
    <w:rsid w:val="202E1138"/>
    <w:rsid w:val="202E7722"/>
    <w:rsid w:val="202F2A2E"/>
    <w:rsid w:val="20325E0C"/>
    <w:rsid w:val="2035501C"/>
    <w:rsid w:val="203971E9"/>
    <w:rsid w:val="203B3BA6"/>
    <w:rsid w:val="203D5472"/>
    <w:rsid w:val="203F1315"/>
    <w:rsid w:val="20422116"/>
    <w:rsid w:val="204B6316"/>
    <w:rsid w:val="204C7C1A"/>
    <w:rsid w:val="204D6F97"/>
    <w:rsid w:val="20507F06"/>
    <w:rsid w:val="20517C71"/>
    <w:rsid w:val="20553942"/>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44F5D"/>
    <w:rsid w:val="20982783"/>
    <w:rsid w:val="209A2749"/>
    <w:rsid w:val="209C395F"/>
    <w:rsid w:val="209C3EAA"/>
    <w:rsid w:val="209F6049"/>
    <w:rsid w:val="20A12AB5"/>
    <w:rsid w:val="20A41541"/>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608A"/>
    <w:rsid w:val="21062211"/>
    <w:rsid w:val="210F68A1"/>
    <w:rsid w:val="21104F4F"/>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03A79"/>
    <w:rsid w:val="214114FB"/>
    <w:rsid w:val="2143203B"/>
    <w:rsid w:val="2143692E"/>
    <w:rsid w:val="21452AE2"/>
    <w:rsid w:val="2148417B"/>
    <w:rsid w:val="214A277A"/>
    <w:rsid w:val="214E5B11"/>
    <w:rsid w:val="21513527"/>
    <w:rsid w:val="21516AF2"/>
    <w:rsid w:val="21521A6E"/>
    <w:rsid w:val="21551670"/>
    <w:rsid w:val="21553ADF"/>
    <w:rsid w:val="21580349"/>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93D10"/>
    <w:rsid w:val="218E3E07"/>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A01CC"/>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B13AF"/>
    <w:rsid w:val="221E4044"/>
    <w:rsid w:val="22264E74"/>
    <w:rsid w:val="222971A9"/>
    <w:rsid w:val="222D5B04"/>
    <w:rsid w:val="222E4B36"/>
    <w:rsid w:val="222F05E6"/>
    <w:rsid w:val="22335E59"/>
    <w:rsid w:val="2238124D"/>
    <w:rsid w:val="223B6DD1"/>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A1094"/>
    <w:rsid w:val="227E2860"/>
    <w:rsid w:val="228808E1"/>
    <w:rsid w:val="22882272"/>
    <w:rsid w:val="228F635F"/>
    <w:rsid w:val="228F7972"/>
    <w:rsid w:val="22955EDB"/>
    <w:rsid w:val="22980508"/>
    <w:rsid w:val="229E0F90"/>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3014B3D"/>
    <w:rsid w:val="23042807"/>
    <w:rsid w:val="23072FB9"/>
    <w:rsid w:val="23075061"/>
    <w:rsid w:val="230A64F4"/>
    <w:rsid w:val="2310193C"/>
    <w:rsid w:val="2314181E"/>
    <w:rsid w:val="2317727F"/>
    <w:rsid w:val="231B2D00"/>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50118C"/>
    <w:rsid w:val="23510955"/>
    <w:rsid w:val="235479B3"/>
    <w:rsid w:val="23550E3B"/>
    <w:rsid w:val="23554CB9"/>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64F34"/>
    <w:rsid w:val="23E75469"/>
    <w:rsid w:val="23E9433B"/>
    <w:rsid w:val="23EC2899"/>
    <w:rsid w:val="23ED2BCC"/>
    <w:rsid w:val="23EE1A0B"/>
    <w:rsid w:val="23EE32CE"/>
    <w:rsid w:val="23EE3973"/>
    <w:rsid w:val="23F33C73"/>
    <w:rsid w:val="23F650B1"/>
    <w:rsid w:val="23FF020F"/>
    <w:rsid w:val="240050CB"/>
    <w:rsid w:val="24060D25"/>
    <w:rsid w:val="24086D79"/>
    <w:rsid w:val="240F66A9"/>
    <w:rsid w:val="24105171"/>
    <w:rsid w:val="24106B56"/>
    <w:rsid w:val="24107632"/>
    <w:rsid w:val="24107D2B"/>
    <w:rsid w:val="241157A7"/>
    <w:rsid w:val="24191817"/>
    <w:rsid w:val="24191D8F"/>
    <w:rsid w:val="241F1881"/>
    <w:rsid w:val="242148AF"/>
    <w:rsid w:val="24285E1D"/>
    <w:rsid w:val="243270CB"/>
    <w:rsid w:val="243D017A"/>
    <w:rsid w:val="243D63FA"/>
    <w:rsid w:val="244340B3"/>
    <w:rsid w:val="24444FD4"/>
    <w:rsid w:val="24464871"/>
    <w:rsid w:val="244A34E7"/>
    <w:rsid w:val="24506051"/>
    <w:rsid w:val="245A074D"/>
    <w:rsid w:val="245D17E8"/>
    <w:rsid w:val="245E4A07"/>
    <w:rsid w:val="245E7BF1"/>
    <w:rsid w:val="24651C4F"/>
    <w:rsid w:val="24696713"/>
    <w:rsid w:val="246F7D44"/>
    <w:rsid w:val="24706349"/>
    <w:rsid w:val="24711307"/>
    <w:rsid w:val="24712DF5"/>
    <w:rsid w:val="24754CB4"/>
    <w:rsid w:val="247769A4"/>
    <w:rsid w:val="24784120"/>
    <w:rsid w:val="247A0B6D"/>
    <w:rsid w:val="24820F24"/>
    <w:rsid w:val="24821C44"/>
    <w:rsid w:val="24822A2F"/>
    <w:rsid w:val="248A1D6B"/>
    <w:rsid w:val="248A2891"/>
    <w:rsid w:val="248B2870"/>
    <w:rsid w:val="248B587E"/>
    <w:rsid w:val="248D1D37"/>
    <w:rsid w:val="24903060"/>
    <w:rsid w:val="24956889"/>
    <w:rsid w:val="24962F88"/>
    <w:rsid w:val="24965CCD"/>
    <w:rsid w:val="24975BE5"/>
    <w:rsid w:val="24991F99"/>
    <w:rsid w:val="24992F68"/>
    <w:rsid w:val="249B5F35"/>
    <w:rsid w:val="249D6F0E"/>
    <w:rsid w:val="249F14E3"/>
    <w:rsid w:val="249F4CC6"/>
    <w:rsid w:val="24A03D43"/>
    <w:rsid w:val="24A15A48"/>
    <w:rsid w:val="24A40035"/>
    <w:rsid w:val="24AB13AF"/>
    <w:rsid w:val="24AB6028"/>
    <w:rsid w:val="24AF7583"/>
    <w:rsid w:val="24B10DC1"/>
    <w:rsid w:val="24B22A0D"/>
    <w:rsid w:val="24B331B5"/>
    <w:rsid w:val="24B3371E"/>
    <w:rsid w:val="24B37F87"/>
    <w:rsid w:val="24B94F60"/>
    <w:rsid w:val="24BE00A1"/>
    <w:rsid w:val="24C671AD"/>
    <w:rsid w:val="24C80E72"/>
    <w:rsid w:val="24CF3515"/>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6398E"/>
    <w:rsid w:val="251B6D90"/>
    <w:rsid w:val="251C2A03"/>
    <w:rsid w:val="251D01B7"/>
    <w:rsid w:val="251E43B8"/>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2EC9"/>
    <w:rsid w:val="254546F8"/>
    <w:rsid w:val="254876B3"/>
    <w:rsid w:val="254B70A1"/>
    <w:rsid w:val="254B76A2"/>
    <w:rsid w:val="255513D2"/>
    <w:rsid w:val="255A50C8"/>
    <w:rsid w:val="255B49B3"/>
    <w:rsid w:val="255C1932"/>
    <w:rsid w:val="255E294F"/>
    <w:rsid w:val="25605508"/>
    <w:rsid w:val="25664BDF"/>
    <w:rsid w:val="25692DFE"/>
    <w:rsid w:val="256B4DA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A2B31"/>
    <w:rsid w:val="25AE4BB6"/>
    <w:rsid w:val="25AE58DD"/>
    <w:rsid w:val="25B01C96"/>
    <w:rsid w:val="25BA5FD6"/>
    <w:rsid w:val="25BC5A7D"/>
    <w:rsid w:val="25BF01BE"/>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52DD1"/>
    <w:rsid w:val="25E62027"/>
    <w:rsid w:val="25E623BE"/>
    <w:rsid w:val="25E6527D"/>
    <w:rsid w:val="25E66749"/>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64BED"/>
    <w:rsid w:val="2656623A"/>
    <w:rsid w:val="26576EEB"/>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72E00"/>
    <w:rsid w:val="268A2240"/>
    <w:rsid w:val="268E0894"/>
    <w:rsid w:val="26916DB8"/>
    <w:rsid w:val="269837EF"/>
    <w:rsid w:val="269D560D"/>
    <w:rsid w:val="26A4086B"/>
    <w:rsid w:val="26A527E1"/>
    <w:rsid w:val="26A84125"/>
    <w:rsid w:val="26AA70AB"/>
    <w:rsid w:val="26AC34C5"/>
    <w:rsid w:val="26AD35FE"/>
    <w:rsid w:val="26AF7EB1"/>
    <w:rsid w:val="26B03757"/>
    <w:rsid w:val="26B05F7D"/>
    <w:rsid w:val="26B21B08"/>
    <w:rsid w:val="26B24ECF"/>
    <w:rsid w:val="26B308DC"/>
    <w:rsid w:val="26B776B1"/>
    <w:rsid w:val="26B8558F"/>
    <w:rsid w:val="26BA10B7"/>
    <w:rsid w:val="26BA5D9A"/>
    <w:rsid w:val="26C03942"/>
    <w:rsid w:val="26C518B8"/>
    <w:rsid w:val="26C5793A"/>
    <w:rsid w:val="26C705CA"/>
    <w:rsid w:val="26C95870"/>
    <w:rsid w:val="26C95C2B"/>
    <w:rsid w:val="26CC5F73"/>
    <w:rsid w:val="26CE2F0A"/>
    <w:rsid w:val="26CF27C0"/>
    <w:rsid w:val="26CF63D9"/>
    <w:rsid w:val="26CF6823"/>
    <w:rsid w:val="26D07CC0"/>
    <w:rsid w:val="26D13369"/>
    <w:rsid w:val="26D62980"/>
    <w:rsid w:val="26D82E82"/>
    <w:rsid w:val="26D9017F"/>
    <w:rsid w:val="26E45D21"/>
    <w:rsid w:val="26E85826"/>
    <w:rsid w:val="26EF797D"/>
    <w:rsid w:val="26F0116E"/>
    <w:rsid w:val="26F104CD"/>
    <w:rsid w:val="26FC3727"/>
    <w:rsid w:val="26FE5EF3"/>
    <w:rsid w:val="27007DB1"/>
    <w:rsid w:val="27023FD8"/>
    <w:rsid w:val="270268FC"/>
    <w:rsid w:val="27074420"/>
    <w:rsid w:val="270A184E"/>
    <w:rsid w:val="270A391F"/>
    <w:rsid w:val="270B3BA8"/>
    <w:rsid w:val="27115F5E"/>
    <w:rsid w:val="27130CD0"/>
    <w:rsid w:val="271438F4"/>
    <w:rsid w:val="27146B11"/>
    <w:rsid w:val="27181BBE"/>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6010D4"/>
    <w:rsid w:val="27614F78"/>
    <w:rsid w:val="27636FAC"/>
    <w:rsid w:val="27653B8D"/>
    <w:rsid w:val="276B0663"/>
    <w:rsid w:val="276C47FF"/>
    <w:rsid w:val="277130B1"/>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76F52"/>
    <w:rsid w:val="27EA32D3"/>
    <w:rsid w:val="27EB7582"/>
    <w:rsid w:val="27F22F77"/>
    <w:rsid w:val="27F34EE4"/>
    <w:rsid w:val="27F75AC8"/>
    <w:rsid w:val="27F9211D"/>
    <w:rsid w:val="27FA342A"/>
    <w:rsid w:val="27FE07F9"/>
    <w:rsid w:val="280043D0"/>
    <w:rsid w:val="280E125B"/>
    <w:rsid w:val="280F0B82"/>
    <w:rsid w:val="28125E32"/>
    <w:rsid w:val="2814140F"/>
    <w:rsid w:val="28160839"/>
    <w:rsid w:val="281B518B"/>
    <w:rsid w:val="281B53AF"/>
    <w:rsid w:val="28214635"/>
    <w:rsid w:val="282240C3"/>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879AA"/>
    <w:rsid w:val="287B4553"/>
    <w:rsid w:val="28800158"/>
    <w:rsid w:val="28820F44"/>
    <w:rsid w:val="288220FA"/>
    <w:rsid w:val="288408DA"/>
    <w:rsid w:val="2884313F"/>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B456A"/>
    <w:rsid w:val="28BB497C"/>
    <w:rsid w:val="28BC1249"/>
    <w:rsid w:val="28BC17BC"/>
    <w:rsid w:val="28BC55B3"/>
    <w:rsid w:val="28BD2608"/>
    <w:rsid w:val="28BF4306"/>
    <w:rsid w:val="28BF59E6"/>
    <w:rsid w:val="28C11463"/>
    <w:rsid w:val="28C21203"/>
    <w:rsid w:val="28D11B84"/>
    <w:rsid w:val="28D36789"/>
    <w:rsid w:val="28D56FEF"/>
    <w:rsid w:val="28D773A2"/>
    <w:rsid w:val="28DD48BC"/>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3E2261"/>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A3CA5"/>
    <w:rsid w:val="299B07C3"/>
    <w:rsid w:val="29A014FF"/>
    <w:rsid w:val="29A54BB2"/>
    <w:rsid w:val="29A57939"/>
    <w:rsid w:val="29A646F0"/>
    <w:rsid w:val="29A6565D"/>
    <w:rsid w:val="29AB7532"/>
    <w:rsid w:val="29AC64D3"/>
    <w:rsid w:val="29B1158B"/>
    <w:rsid w:val="29B343F9"/>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3979"/>
    <w:rsid w:val="29E95E36"/>
    <w:rsid w:val="29EC7DCB"/>
    <w:rsid w:val="29EF4D36"/>
    <w:rsid w:val="29F00B3D"/>
    <w:rsid w:val="29F21AFA"/>
    <w:rsid w:val="29F42421"/>
    <w:rsid w:val="29F55680"/>
    <w:rsid w:val="29F6357B"/>
    <w:rsid w:val="29F64D54"/>
    <w:rsid w:val="29F70BA7"/>
    <w:rsid w:val="2A0011E1"/>
    <w:rsid w:val="2A0345E7"/>
    <w:rsid w:val="2A056239"/>
    <w:rsid w:val="2A060928"/>
    <w:rsid w:val="2A0D3CE8"/>
    <w:rsid w:val="2A11757B"/>
    <w:rsid w:val="2A127934"/>
    <w:rsid w:val="2A173EF4"/>
    <w:rsid w:val="2A1A7380"/>
    <w:rsid w:val="2A1B5EC5"/>
    <w:rsid w:val="2A1B7318"/>
    <w:rsid w:val="2A1B7A07"/>
    <w:rsid w:val="2A2546C7"/>
    <w:rsid w:val="2A2E0C20"/>
    <w:rsid w:val="2A361CB2"/>
    <w:rsid w:val="2A36594F"/>
    <w:rsid w:val="2A3A4031"/>
    <w:rsid w:val="2A3B3E69"/>
    <w:rsid w:val="2A3B4C1A"/>
    <w:rsid w:val="2A3F15E1"/>
    <w:rsid w:val="2A437EF7"/>
    <w:rsid w:val="2A451545"/>
    <w:rsid w:val="2A467378"/>
    <w:rsid w:val="2A4A1E68"/>
    <w:rsid w:val="2A4B11DF"/>
    <w:rsid w:val="2A4F30C7"/>
    <w:rsid w:val="2A4F54C7"/>
    <w:rsid w:val="2A513760"/>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BB44A3"/>
    <w:rsid w:val="2AC11D38"/>
    <w:rsid w:val="2AC175B9"/>
    <w:rsid w:val="2AC303D2"/>
    <w:rsid w:val="2AC31C45"/>
    <w:rsid w:val="2AC64A5F"/>
    <w:rsid w:val="2AC6739A"/>
    <w:rsid w:val="2AC73F22"/>
    <w:rsid w:val="2AC9741F"/>
    <w:rsid w:val="2ADA1FD1"/>
    <w:rsid w:val="2ADC2E55"/>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D0A0D"/>
    <w:rsid w:val="2BE07DCF"/>
    <w:rsid w:val="2BE11C92"/>
    <w:rsid w:val="2BEA572B"/>
    <w:rsid w:val="2BEF1332"/>
    <w:rsid w:val="2BF21E6B"/>
    <w:rsid w:val="2BF37482"/>
    <w:rsid w:val="2BF44936"/>
    <w:rsid w:val="2BF6090F"/>
    <w:rsid w:val="2BF62E38"/>
    <w:rsid w:val="2BFD1C9F"/>
    <w:rsid w:val="2BFE567C"/>
    <w:rsid w:val="2C014C9D"/>
    <w:rsid w:val="2C04740C"/>
    <w:rsid w:val="2C0504F8"/>
    <w:rsid w:val="2C0577B1"/>
    <w:rsid w:val="2C065B95"/>
    <w:rsid w:val="2C066957"/>
    <w:rsid w:val="2C087521"/>
    <w:rsid w:val="2C0C03C8"/>
    <w:rsid w:val="2C1A363B"/>
    <w:rsid w:val="2C1E5A47"/>
    <w:rsid w:val="2C1E65A5"/>
    <w:rsid w:val="2C227875"/>
    <w:rsid w:val="2C273E69"/>
    <w:rsid w:val="2C277821"/>
    <w:rsid w:val="2C283CD4"/>
    <w:rsid w:val="2C295AB4"/>
    <w:rsid w:val="2C296900"/>
    <w:rsid w:val="2C2A1E40"/>
    <w:rsid w:val="2C2A6B2A"/>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6B69E2"/>
    <w:rsid w:val="2C7341C7"/>
    <w:rsid w:val="2C746FA5"/>
    <w:rsid w:val="2C7631D7"/>
    <w:rsid w:val="2C764625"/>
    <w:rsid w:val="2C790296"/>
    <w:rsid w:val="2C7B4B5D"/>
    <w:rsid w:val="2C7C3CDB"/>
    <w:rsid w:val="2C7E7AD5"/>
    <w:rsid w:val="2C8109DB"/>
    <w:rsid w:val="2C813C5A"/>
    <w:rsid w:val="2C816FF8"/>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0262"/>
    <w:rsid w:val="2CAD5B03"/>
    <w:rsid w:val="2CAE3B13"/>
    <w:rsid w:val="2CAF788B"/>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F654A"/>
    <w:rsid w:val="2CD20972"/>
    <w:rsid w:val="2CD37602"/>
    <w:rsid w:val="2CD4654A"/>
    <w:rsid w:val="2CE22CD1"/>
    <w:rsid w:val="2CE243DE"/>
    <w:rsid w:val="2CE803D3"/>
    <w:rsid w:val="2CE85007"/>
    <w:rsid w:val="2CEE15E1"/>
    <w:rsid w:val="2CEF416B"/>
    <w:rsid w:val="2CF06A3C"/>
    <w:rsid w:val="2CF238F5"/>
    <w:rsid w:val="2CF26F5B"/>
    <w:rsid w:val="2CF9058E"/>
    <w:rsid w:val="2CF911FA"/>
    <w:rsid w:val="2CF976D3"/>
    <w:rsid w:val="2CFF086A"/>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C59C4"/>
    <w:rsid w:val="2D405098"/>
    <w:rsid w:val="2D416432"/>
    <w:rsid w:val="2D445E5E"/>
    <w:rsid w:val="2D4537ED"/>
    <w:rsid w:val="2D4742A1"/>
    <w:rsid w:val="2D485D30"/>
    <w:rsid w:val="2D487A88"/>
    <w:rsid w:val="2D596A94"/>
    <w:rsid w:val="2D5A1516"/>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2DF1"/>
    <w:rsid w:val="2DC654DD"/>
    <w:rsid w:val="2DC75B1A"/>
    <w:rsid w:val="2DC80574"/>
    <w:rsid w:val="2DCC2144"/>
    <w:rsid w:val="2DD6379F"/>
    <w:rsid w:val="2DDB27A7"/>
    <w:rsid w:val="2DDB4B6D"/>
    <w:rsid w:val="2DE145C9"/>
    <w:rsid w:val="2DE5515E"/>
    <w:rsid w:val="2DEB7E18"/>
    <w:rsid w:val="2DED13BE"/>
    <w:rsid w:val="2DEF1A65"/>
    <w:rsid w:val="2DF47B81"/>
    <w:rsid w:val="2DF52FB9"/>
    <w:rsid w:val="2DF5552F"/>
    <w:rsid w:val="2DF73F30"/>
    <w:rsid w:val="2DF9136B"/>
    <w:rsid w:val="2DFA1D0C"/>
    <w:rsid w:val="2DFC0E9E"/>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94F2E"/>
    <w:rsid w:val="2E3C6173"/>
    <w:rsid w:val="2E3E73B5"/>
    <w:rsid w:val="2E4A731A"/>
    <w:rsid w:val="2E5024D8"/>
    <w:rsid w:val="2E506091"/>
    <w:rsid w:val="2E5C4F9B"/>
    <w:rsid w:val="2E605AE6"/>
    <w:rsid w:val="2E643BF9"/>
    <w:rsid w:val="2E660A34"/>
    <w:rsid w:val="2E680509"/>
    <w:rsid w:val="2E686180"/>
    <w:rsid w:val="2E6D2463"/>
    <w:rsid w:val="2E6E383D"/>
    <w:rsid w:val="2E7043F3"/>
    <w:rsid w:val="2E725AB5"/>
    <w:rsid w:val="2E751D5C"/>
    <w:rsid w:val="2E8725F8"/>
    <w:rsid w:val="2E89270D"/>
    <w:rsid w:val="2E8B01C4"/>
    <w:rsid w:val="2E8D356C"/>
    <w:rsid w:val="2E9101F7"/>
    <w:rsid w:val="2E9326A8"/>
    <w:rsid w:val="2E9344BB"/>
    <w:rsid w:val="2E942D26"/>
    <w:rsid w:val="2E962627"/>
    <w:rsid w:val="2E973E43"/>
    <w:rsid w:val="2E9C1E7A"/>
    <w:rsid w:val="2E9C7C55"/>
    <w:rsid w:val="2EA15B6C"/>
    <w:rsid w:val="2EA23EF2"/>
    <w:rsid w:val="2EA469A3"/>
    <w:rsid w:val="2EA908CD"/>
    <w:rsid w:val="2EAA5EA7"/>
    <w:rsid w:val="2EAE08A6"/>
    <w:rsid w:val="2EAE4185"/>
    <w:rsid w:val="2EB15D4B"/>
    <w:rsid w:val="2EB953B3"/>
    <w:rsid w:val="2EBD58E5"/>
    <w:rsid w:val="2EC10A13"/>
    <w:rsid w:val="2EC14E69"/>
    <w:rsid w:val="2EC517B2"/>
    <w:rsid w:val="2EC53771"/>
    <w:rsid w:val="2EC53E66"/>
    <w:rsid w:val="2ECA4FA6"/>
    <w:rsid w:val="2ECD0C40"/>
    <w:rsid w:val="2ECE6D75"/>
    <w:rsid w:val="2ECF267B"/>
    <w:rsid w:val="2ED26976"/>
    <w:rsid w:val="2ED60271"/>
    <w:rsid w:val="2EDC722F"/>
    <w:rsid w:val="2EDF7E4B"/>
    <w:rsid w:val="2EE04937"/>
    <w:rsid w:val="2EE0645B"/>
    <w:rsid w:val="2EE4485A"/>
    <w:rsid w:val="2EE52A03"/>
    <w:rsid w:val="2EE72F28"/>
    <w:rsid w:val="2EE813DE"/>
    <w:rsid w:val="2EEB065C"/>
    <w:rsid w:val="2EEB1791"/>
    <w:rsid w:val="2EEE6C8A"/>
    <w:rsid w:val="2EF02698"/>
    <w:rsid w:val="2EF14059"/>
    <w:rsid w:val="2EF66701"/>
    <w:rsid w:val="2EF83B5E"/>
    <w:rsid w:val="2EFB3FE6"/>
    <w:rsid w:val="2EFB595F"/>
    <w:rsid w:val="2EFE3AC4"/>
    <w:rsid w:val="2F011184"/>
    <w:rsid w:val="2F02185F"/>
    <w:rsid w:val="2F02254F"/>
    <w:rsid w:val="2F057C99"/>
    <w:rsid w:val="2F060CE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24E88"/>
    <w:rsid w:val="2F341AA2"/>
    <w:rsid w:val="2F370668"/>
    <w:rsid w:val="2F3D200F"/>
    <w:rsid w:val="2F402D6C"/>
    <w:rsid w:val="2F4575D0"/>
    <w:rsid w:val="2F490252"/>
    <w:rsid w:val="2F495570"/>
    <w:rsid w:val="2F4E4C44"/>
    <w:rsid w:val="2F4F2BD8"/>
    <w:rsid w:val="2F595488"/>
    <w:rsid w:val="2F5D627E"/>
    <w:rsid w:val="2F6051BD"/>
    <w:rsid w:val="2F66155E"/>
    <w:rsid w:val="2F682CC8"/>
    <w:rsid w:val="2F697088"/>
    <w:rsid w:val="2F6C6EFD"/>
    <w:rsid w:val="2F6E52E8"/>
    <w:rsid w:val="2F6F3F3F"/>
    <w:rsid w:val="2F725728"/>
    <w:rsid w:val="2F735266"/>
    <w:rsid w:val="2F751634"/>
    <w:rsid w:val="2F761B45"/>
    <w:rsid w:val="2F776C59"/>
    <w:rsid w:val="2F781F3C"/>
    <w:rsid w:val="2F791891"/>
    <w:rsid w:val="2F7B0599"/>
    <w:rsid w:val="2F7F152E"/>
    <w:rsid w:val="2F8112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AB645B"/>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24EB"/>
    <w:rsid w:val="2FDB4228"/>
    <w:rsid w:val="2FDB432B"/>
    <w:rsid w:val="2FDC6B98"/>
    <w:rsid w:val="2FDE7B08"/>
    <w:rsid w:val="2FDF68B6"/>
    <w:rsid w:val="2FE465CC"/>
    <w:rsid w:val="2FED56B0"/>
    <w:rsid w:val="2FF15596"/>
    <w:rsid w:val="2FF657DC"/>
    <w:rsid w:val="2FF67CA4"/>
    <w:rsid w:val="2FF82F3D"/>
    <w:rsid w:val="2FF86E27"/>
    <w:rsid w:val="2FFB7225"/>
    <w:rsid w:val="2FFC5AE2"/>
    <w:rsid w:val="2FFE5F1C"/>
    <w:rsid w:val="300255C6"/>
    <w:rsid w:val="30066482"/>
    <w:rsid w:val="300E5103"/>
    <w:rsid w:val="30132A83"/>
    <w:rsid w:val="3014431F"/>
    <w:rsid w:val="301D460E"/>
    <w:rsid w:val="30217AD5"/>
    <w:rsid w:val="30222D73"/>
    <w:rsid w:val="30243ECE"/>
    <w:rsid w:val="30295059"/>
    <w:rsid w:val="302A479B"/>
    <w:rsid w:val="302C4F9C"/>
    <w:rsid w:val="302C7013"/>
    <w:rsid w:val="302E2308"/>
    <w:rsid w:val="302E6A31"/>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977D4"/>
    <w:rsid w:val="305B2D55"/>
    <w:rsid w:val="305D124C"/>
    <w:rsid w:val="305D74D4"/>
    <w:rsid w:val="305E65F1"/>
    <w:rsid w:val="3060486D"/>
    <w:rsid w:val="30633252"/>
    <w:rsid w:val="306767F3"/>
    <w:rsid w:val="306E1EF1"/>
    <w:rsid w:val="306E6922"/>
    <w:rsid w:val="307002B3"/>
    <w:rsid w:val="3073547D"/>
    <w:rsid w:val="30736236"/>
    <w:rsid w:val="30762FEA"/>
    <w:rsid w:val="30781681"/>
    <w:rsid w:val="307A0395"/>
    <w:rsid w:val="307D2377"/>
    <w:rsid w:val="307E4267"/>
    <w:rsid w:val="3080592C"/>
    <w:rsid w:val="308140F8"/>
    <w:rsid w:val="30832CE2"/>
    <w:rsid w:val="308A4BC9"/>
    <w:rsid w:val="30904317"/>
    <w:rsid w:val="30910176"/>
    <w:rsid w:val="309444DE"/>
    <w:rsid w:val="30952D9C"/>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1D1E"/>
    <w:rsid w:val="30DB72EF"/>
    <w:rsid w:val="30E01098"/>
    <w:rsid w:val="30E27D5F"/>
    <w:rsid w:val="30E31EEB"/>
    <w:rsid w:val="30E64CA0"/>
    <w:rsid w:val="30E7231F"/>
    <w:rsid w:val="30F113C7"/>
    <w:rsid w:val="30F8030A"/>
    <w:rsid w:val="30FA4CE6"/>
    <w:rsid w:val="30FC4EF7"/>
    <w:rsid w:val="310159DF"/>
    <w:rsid w:val="31032659"/>
    <w:rsid w:val="31056DA6"/>
    <w:rsid w:val="31081AAA"/>
    <w:rsid w:val="31091CED"/>
    <w:rsid w:val="310F24E7"/>
    <w:rsid w:val="31121EC6"/>
    <w:rsid w:val="311331CF"/>
    <w:rsid w:val="31157243"/>
    <w:rsid w:val="311C7FAB"/>
    <w:rsid w:val="31231685"/>
    <w:rsid w:val="31236F09"/>
    <w:rsid w:val="31283F91"/>
    <w:rsid w:val="31293D1E"/>
    <w:rsid w:val="312B59C8"/>
    <w:rsid w:val="31304E1D"/>
    <w:rsid w:val="313119D3"/>
    <w:rsid w:val="31371B54"/>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E471F"/>
    <w:rsid w:val="316F6E11"/>
    <w:rsid w:val="31723FFB"/>
    <w:rsid w:val="31725C00"/>
    <w:rsid w:val="317A104A"/>
    <w:rsid w:val="317F3FBE"/>
    <w:rsid w:val="31836A9D"/>
    <w:rsid w:val="31854832"/>
    <w:rsid w:val="31854B87"/>
    <w:rsid w:val="31884274"/>
    <w:rsid w:val="31891BCF"/>
    <w:rsid w:val="318949FD"/>
    <w:rsid w:val="318B0F4D"/>
    <w:rsid w:val="318E3EAA"/>
    <w:rsid w:val="318E6312"/>
    <w:rsid w:val="31924B17"/>
    <w:rsid w:val="31951990"/>
    <w:rsid w:val="319A1786"/>
    <w:rsid w:val="319B2E7D"/>
    <w:rsid w:val="31A226AA"/>
    <w:rsid w:val="31A77430"/>
    <w:rsid w:val="31A85D10"/>
    <w:rsid w:val="31AD726B"/>
    <w:rsid w:val="31B17FEA"/>
    <w:rsid w:val="31B2657D"/>
    <w:rsid w:val="31B36DA6"/>
    <w:rsid w:val="31B76813"/>
    <w:rsid w:val="31BA34F9"/>
    <w:rsid w:val="31BC226A"/>
    <w:rsid w:val="31BC7D1D"/>
    <w:rsid w:val="31C06A8E"/>
    <w:rsid w:val="31C0715C"/>
    <w:rsid w:val="31C14F32"/>
    <w:rsid w:val="31C4412F"/>
    <w:rsid w:val="31C52817"/>
    <w:rsid w:val="31C62574"/>
    <w:rsid w:val="31C90862"/>
    <w:rsid w:val="31CB3016"/>
    <w:rsid w:val="31CD3CA4"/>
    <w:rsid w:val="31D11F85"/>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A69D9"/>
    <w:rsid w:val="320B5911"/>
    <w:rsid w:val="320C003E"/>
    <w:rsid w:val="32136F2D"/>
    <w:rsid w:val="321A3515"/>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52A3"/>
    <w:rsid w:val="324378F4"/>
    <w:rsid w:val="32484AB1"/>
    <w:rsid w:val="32496576"/>
    <w:rsid w:val="324A0310"/>
    <w:rsid w:val="324C6902"/>
    <w:rsid w:val="324F7E77"/>
    <w:rsid w:val="32530870"/>
    <w:rsid w:val="325379A5"/>
    <w:rsid w:val="32573C38"/>
    <w:rsid w:val="325900F4"/>
    <w:rsid w:val="32593B08"/>
    <w:rsid w:val="325962B9"/>
    <w:rsid w:val="325A0237"/>
    <w:rsid w:val="325C155E"/>
    <w:rsid w:val="325E2BBD"/>
    <w:rsid w:val="32603716"/>
    <w:rsid w:val="32667CE0"/>
    <w:rsid w:val="326C6CF3"/>
    <w:rsid w:val="326F2F5D"/>
    <w:rsid w:val="327272A2"/>
    <w:rsid w:val="32743DEB"/>
    <w:rsid w:val="3275252B"/>
    <w:rsid w:val="32756405"/>
    <w:rsid w:val="32791354"/>
    <w:rsid w:val="3279408A"/>
    <w:rsid w:val="327A01BF"/>
    <w:rsid w:val="327C6750"/>
    <w:rsid w:val="327E4D99"/>
    <w:rsid w:val="327E6D1B"/>
    <w:rsid w:val="327F04D7"/>
    <w:rsid w:val="32812AE7"/>
    <w:rsid w:val="328A59AB"/>
    <w:rsid w:val="328B52E1"/>
    <w:rsid w:val="328F15CB"/>
    <w:rsid w:val="329954CB"/>
    <w:rsid w:val="329B6717"/>
    <w:rsid w:val="32A03CF0"/>
    <w:rsid w:val="32A37276"/>
    <w:rsid w:val="32A67BA6"/>
    <w:rsid w:val="32AD52CE"/>
    <w:rsid w:val="32AF69B0"/>
    <w:rsid w:val="32B21E52"/>
    <w:rsid w:val="32B30DFB"/>
    <w:rsid w:val="32B422DE"/>
    <w:rsid w:val="32BA5E3E"/>
    <w:rsid w:val="32BC7942"/>
    <w:rsid w:val="32BE5218"/>
    <w:rsid w:val="32BF1AAB"/>
    <w:rsid w:val="32C018D2"/>
    <w:rsid w:val="32C30255"/>
    <w:rsid w:val="32C81855"/>
    <w:rsid w:val="32C84612"/>
    <w:rsid w:val="32CA1B39"/>
    <w:rsid w:val="32CA675E"/>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F347D"/>
    <w:rsid w:val="32F1440B"/>
    <w:rsid w:val="32F14418"/>
    <w:rsid w:val="32F24243"/>
    <w:rsid w:val="32F273ED"/>
    <w:rsid w:val="32F33D8A"/>
    <w:rsid w:val="32F35977"/>
    <w:rsid w:val="32F436A3"/>
    <w:rsid w:val="32F71AD7"/>
    <w:rsid w:val="32F927CF"/>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826B8"/>
    <w:rsid w:val="331B364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57FE0"/>
    <w:rsid w:val="33583D43"/>
    <w:rsid w:val="3359556A"/>
    <w:rsid w:val="335975F0"/>
    <w:rsid w:val="335C6335"/>
    <w:rsid w:val="335D2A59"/>
    <w:rsid w:val="335E21EC"/>
    <w:rsid w:val="335F5958"/>
    <w:rsid w:val="33601403"/>
    <w:rsid w:val="3364096F"/>
    <w:rsid w:val="336705FF"/>
    <w:rsid w:val="3369354A"/>
    <w:rsid w:val="336A45E2"/>
    <w:rsid w:val="336A6F38"/>
    <w:rsid w:val="336E4ED6"/>
    <w:rsid w:val="33716B56"/>
    <w:rsid w:val="3373347A"/>
    <w:rsid w:val="3373705F"/>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0087E"/>
    <w:rsid w:val="33C748AE"/>
    <w:rsid w:val="33C75909"/>
    <w:rsid w:val="33D02E46"/>
    <w:rsid w:val="33D53334"/>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6099"/>
    <w:rsid w:val="344E7394"/>
    <w:rsid w:val="345755A8"/>
    <w:rsid w:val="34590367"/>
    <w:rsid w:val="345A0537"/>
    <w:rsid w:val="345B7068"/>
    <w:rsid w:val="345C4D68"/>
    <w:rsid w:val="345D758F"/>
    <w:rsid w:val="34631782"/>
    <w:rsid w:val="346329CD"/>
    <w:rsid w:val="34644217"/>
    <w:rsid w:val="3465029D"/>
    <w:rsid w:val="3466773F"/>
    <w:rsid w:val="346A1BB2"/>
    <w:rsid w:val="346A6125"/>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3C04"/>
    <w:rsid w:val="34937CA2"/>
    <w:rsid w:val="349C27BA"/>
    <w:rsid w:val="349D0EE2"/>
    <w:rsid w:val="349D4C3A"/>
    <w:rsid w:val="34A139B0"/>
    <w:rsid w:val="34A14FAB"/>
    <w:rsid w:val="34A46ADA"/>
    <w:rsid w:val="34A70330"/>
    <w:rsid w:val="34A723E9"/>
    <w:rsid w:val="34A73CB6"/>
    <w:rsid w:val="34A86EFC"/>
    <w:rsid w:val="34AA1D0B"/>
    <w:rsid w:val="34AE13F1"/>
    <w:rsid w:val="34AF406A"/>
    <w:rsid w:val="34AF6B2B"/>
    <w:rsid w:val="34B20CB9"/>
    <w:rsid w:val="34B2523D"/>
    <w:rsid w:val="34B3631E"/>
    <w:rsid w:val="34B72433"/>
    <w:rsid w:val="34BB4EBF"/>
    <w:rsid w:val="34C037F6"/>
    <w:rsid w:val="34C510F1"/>
    <w:rsid w:val="34CC14A4"/>
    <w:rsid w:val="34CF701B"/>
    <w:rsid w:val="34D01EFF"/>
    <w:rsid w:val="34D665DD"/>
    <w:rsid w:val="34DB4F48"/>
    <w:rsid w:val="34DC68C6"/>
    <w:rsid w:val="34E509F2"/>
    <w:rsid w:val="34E86316"/>
    <w:rsid w:val="34E95C2F"/>
    <w:rsid w:val="34EA52C6"/>
    <w:rsid w:val="34EE3576"/>
    <w:rsid w:val="34F020FF"/>
    <w:rsid w:val="34F17EC9"/>
    <w:rsid w:val="34FA344D"/>
    <w:rsid w:val="34FF7FD7"/>
    <w:rsid w:val="35005469"/>
    <w:rsid w:val="35017F79"/>
    <w:rsid w:val="35030562"/>
    <w:rsid w:val="35052995"/>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E5A0B"/>
    <w:rsid w:val="356E6429"/>
    <w:rsid w:val="356E6E51"/>
    <w:rsid w:val="357706DE"/>
    <w:rsid w:val="357A0B56"/>
    <w:rsid w:val="357F223D"/>
    <w:rsid w:val="358511C4"/>
    <w:rsid w:val="35856351"/>
    <w:rsid w:val="35862921"/>
    <w:rsid w:val="358D4F45"/>
    <w:rsid w:val="358E6E0F"/>
    <w:rsid w:val="35940857"/>
    <w:rsid w:val="35940CC1"/>
    <w:rsid w:val="35955E66"/>
    <w:rsid w:val="3595612F"/>
    <w:rsid w:val="35A444A3"/>
    <w:rsid w:val="35A525CE"/>
    <w:rsid w:val="35A80B52"/>
    <w:rsid w:val="35A9105B"/>
    <w:rsid w:val="35AE4034"/>
    <w:rsid w:val="35AF609D"/>
    <w:rsid w:val="35B22E58"/>
    <w:rsid w:val="35B2395E"/>
    <w:rsid w:val="35B500E7"/>
    <w:rsid w:val="35B77945"/>
    <w:rsid w:val="35BB6015"/>
    <w:rsid w:val="35BC68C2"/>
    <w:rsid w:val="35BC6DCF"/>
    <w:rsid w:val="35BF0938"/>
    <w:rsid w:val="35C07DDA"/>
    <w:rsid w:val="35C178BC"/>
    <w:rsid w:val="35C367DA"/>
    <w:rsid w:val="35C619FF"/>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81EBE"/>
    <w:rsid w:val="35FB4038"/>
    <w:rsid w:val="35FE5605"/>
    <w:rsid w:val="35FF189A"/>
    <w:rsid w:val="36013E8A"/>
    <w:rsid w:val="360219E2"/>
    <w:rsid w:val="36037987"/>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A2F09"/>
    <w:rsid w:val="365C692E"/>
    <w:rsid w:val="365E5AB3"/>
    <w:rsid w:val="365F316F"/>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447B3"/>
    <w:rsid w:val="369C313F"/>
    <w:rsid w:val="369D08D4"/>
    <w:rsid w:val="369E16D7"/>
    <w:rsid w:val="36A84891"/>
    <w:rsid w:val="36AA3FA9"/>
    <w:rsid w:val="36AD4152"/>
    <w:rsid w:val="36B15850"/>
    <w:rsid w:val="36B46738"/>
    <w:rsid w:val="36B969ED"/>
    <w:rsid w:val="36BB7DF0"/>
    <w:rsid w:val="36BE11DF"/>
    <w:rsid w:val="36BF09FB"/>
    <w:rsid w:val="36C276D2"/>
    <w:rsid w:val="36C35683"/>
    <w:rsid w:val="36D07C32"/>
    <w:rsid w:val="36D105F0"/>
    <w:rsid w:val="36D12A0A"/>
    <w:rsid w:val="36D53B5B"/>
    <w:rsid w:val="36D54D95"/>
    <w:rsid w:val="36DB016A"/>
    <w:rsid w:val="36DD3272"/>
    <w:rsid w:val="36E338B6"/>
    <w:rsid w:val="36E56BC7"/>
    <w:rsid w:val="36E5713F"/>
    <w:rsid w:val="36EA4526"/>
    <w:rsid w:val="36ED38FA"/>
    <w:rsid w:val="36F20C2B"/>
    <w:rsid w:val="36F21C48"/>
    <w:rsid w:val="36F24673"/>
    <w:rsid w:val="36F26E7A"/>
    <w:rsid w:val="36F57A57"/>
    <w:rsid w:val="36F753AB"/>
    <w:rsid w:val="36F77C12"/>
    <w:rsid w:val="36FA4DB3"/>
    <w:rsid w:val="36FF6DEB"/>
    <w:rsid w:val="370008F7"/>
    <w:rsid w:val="37047996"/>
    <w:rsid w:val="37072335"/>
    <w:rsid w:val="3707242F"/>
    <w:rsid w:val="370E00AB"/>
    <w:rsid w:val="370E0B70"/>
    <w:rsid w:val="370E5660"/>
    <w:rsid w:val="371015D4"/>
    <w:rsid w:val="37104E88"/>
    <w:rsid w:val="371264A9"/>
    <w:rsid w:val="37135AF2"/>
    <w:rsid w:val="37144AD8"/>
    <w:rsid w:val="371A75A5"/>
    <w:rsid w:val="371B2D39"/>
    <w:rsid w:val="37287D74"/>
    <w:rsid w:val="372A01B9"/>
    <w:rsid w:val="372B3971"/>
    <w:rsid w:val="372F0142"/>
    <w:rsid w:val="37331E41"/>
    <w:rsid w:val="373329D5"/>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4024E"/>
    <w:rsid w:val="37673380"/>
    <w:rsid w:val="37692AA2"/>
    <w:rsid w:val="376936A3"/>
    <w:rsid w:val="376B0BB2"/>
    <w:rsid w:val="376B5BE2"/>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A24258"/>
    <w:rsid w:val="37A867E7"/>
    <w:rsid w:val="37AB5815"/>
    <w:rsid w:val="37AE3B96"/>
    <w:rsid w:val="37AE3FC6"/>
    <w:rsid w:val="37AE5261"/>
    <w:rsid w:val="37B05BE5"/>
    <w:rsid w:val="37B068D5"/>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615E0"/>
    <w:rsid w:val="37C62CBD"/>
    <w:rsid w:val="37C760B1"/>
    <w:rsid w:val="37C8323F"/>
    <w:rsid w:val="37C83751"/>
    <w:rsid w:val="37CA282F"/>
    <w:rsid w:val="37CB1389"/>
    <w:rsid w:val="37CB3A4F"/>
    <w:rsid w:val="37CD003C"/>
    <w:rsid w:val="37D435D8"/>
    <w:rsid w:val="37D45BE3"/>
    <w:rsid w:val="37D87D8B"/>
    <w:rsid w:val="37DB6C63"/>
    <w:rsid w:val="37DC1D8E"/>
    <w:rsid w:val="37DD41C6"/>
    <w:rsid w:val="37DE1511"/>
    <w:rsid w:val="37E57198"/>
    <w:rsid w:val="37E71A38"/>
    <w:rsid w:val="37E93905"/>
    <w:rsid w:val="37EB49EA"/>
    <w:rsid w:val="37EC0B89"/>
    <w:rsid w:val="37F050D5"/>
    <w:rsid w:val="37F1732C"/>
    <w:rsid w:val="37F41004"/>
    <w:rsid w:val="37F53C31"/>
    <w:rsid w:val="37FE386C"/>
    <w:rsid w:val="38003CDE"/>
    <w:rsid w:val="380060EB"/>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B25B4"/>
    <w:rsid w:val="384B4305"/>
    <w:rsid w:val="384B7B42"/>
    <w:rsid w:val="38520289"/>
    <w:rsid w:val="38525B63"/>
    <w:rsid w:val="38542F97"/>
    <w:rsid w:val="385A415B"/>
    <w:rsid w:val="385A4F69"/>
    <w:rsid w:val="385B5E20"/>
    <w:rsid w:val="385E53C0"/>
    <w:rsid w:val="386322B4"/>
    <w:rsid w:val="38640301"/>
    <w:rsid w:val="38662AAB"/>
    <w:rsid w:val="386A6F31"/>
    <w:rsid w:val="387079CF"/>
    <w:rsid w:val="387265C4"/>
    <w:rsid w:val="387552D4"/>
    <w:rsid w:val="387811A2"/>
    <w:rsid w:val="38803E9A"/>
    <w:rsid w:val="38833659"/>
    <w:rsid w:val="38866914"/>
    <w:rsid w:val="388827A3"/>
    <w:rsid w:val="388B58E3"/>
    <w:rsid w:val="389029B4"/>
    <w:rsid w:val="389169F6"/>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46374"/>
    <w:rsid w:val="38B914DE"/>
    <w:rsid w:val="38BA5014"/>
    <w:rsid w:val="38BA672D"/>
    <w:rsid w:val="38BE4547"/>
    <w:rsid w:val="38BF75AA"/>
    <w:rsid w:val="38C05CF9"/>
    <w:rsid w:val="38C22308"/>
    <w:rsid w:val="38C31B7A"/>
    <w:rsid w:val="38C428CC"/>
    <w:rsid w:val="38C449E2"/>
    <w:rsid w:val="38C517E5"/>
    <w:rsid w:val="38CB30F4"/>
    <w:rsid w:val="38CC345F"/>
    <w:rsid w:val="38D0004A"/>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A52AF"/>
    <w:rsid w:val="38FB4A09"/>
    <w:rsid w:val="39012C16"/>
    <w:rsid w:val="39026E75"/>
    <w:rsid w:val="390429EC"/>
    <w:rsid w:val="39042F1F"/>
    <w:rsid w:val="39046421"/>
    <w:rsid w:val="390E78D6"/>
    <w:rsid w:val="390F3D44"/>
    <w:rsid w:val="391106DB"/>
    <w:rsid w:val="39126A08"/>
    <w:rsid w:val="3917523E"/>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6D3A85"/>
    <w:rsid w:val="39727F06"/>
    <w:rsid w:val="39765E70"/>
    <w:rsid w:val="39770A5A"/>
    <w:rsid w:val="39771A07"/>
    <w:rsid w:val="39774BBD"/>
    <w:rsid w:val="397E51D4"/>
    <w:rsid w:val="397F069A"/>
    <w:rsid w:val="3984789F"/>
    <w:rsid w:val="39847EB1"/>
    <w:rsid w:val="398663A1"/>
    <w:rsid w:val="398704BB"/>
    <w:rsid w:val="39882427"/>
    <w:rsid w:val="398B605E"/>
    <w:rsid w:val="398D1C5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857F7"/>
    <w:rsid w:val="39B90E5E"/>
    <w:rsid w:val="39BB3A94"/>
    <w:rsid w:val="39BF4E6C"/>
    <w:rsid w:val="39C10EC4"/>
    <w:rsid w:val="39C1671E"/>
    <w:rsid w:val="39C80B4F"/>
    <w:rsid w:val="39CB526D"/>
    <w:rsid w:val="39CD52D5"/>
    <w:rsid w:val="39CF1214"/>
    <w:rsid w:val="39D14246"/>
    <w:rsid w:val="39D546A7"/>
    <w:rsid w:val="39DA79C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9602E"/>
    <w:rsid w:val="3A0C0131"/>
    <w:rsid w:val="3A0C1916"/>
    <w:rsid w:val="3A11406B"/>
    <w:rsid w:val="3A14776F"/>
    <w:rsid w:val="3A1C71BF"/>
    <w:rsid w:val="3A216AA7"/>
    <w:rsid w:val="3A227D1E"/>
    <w:rsid w:val="3A274CEB"/>
    <w:rsid w:val="3A2B63E8"/>
    <w:rsid w:val="3A2C09D8"/>
    <w:rsid w:val="3A2C3BA6"/>
    <w:rsid w:val="3A2C57C2"/>
    <w:rsid w:val="3A2D0617"/>
    <w:rsid w:val="3A3539DC"/>
    <w:rsid w:val="3A38216B"/>
    <w:rsid w:val="3A39457D"/>
    <w:rsid w:val="3A394D5E"/>
    <w:rsid w:val="3A3D4D53"/>
    <w:rsid w:val="3A3F55B2"/>
    <w:rsid w:val="3A4240BB"/>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82472F"/>
    <w:rsid w:val="3A8700BD"/>
    <w:rsid w:val="3A870750"/>
    <w:rsid w:val="3A881F93"/>
    <w:rsid w:val="3A8A04D5"/>
    <w:rsid w:val="3A8D11CC"/>
    <w:rsid w:val="3A8F16CB"/>
    <w:rsid w:val="3A90510A"/>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D5ECE"/>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624E2"/>
    <w:rsid w:val="3AF808B9"/>
    <w:rsid w:val="3AF843C5"/>
    <w:rsid w:val="3AFD4790"/>
    <w:rsid w:val="3AFD7538"/>
    <w:rsid w:val="3AFE14D3"/>
    <w:rsid w:val="3B0114CC"/>
    <w:rsid w:val="3B050C15"/>
    <w:rsid w:val="3B0B05A6"/>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869CE"/>
    <w:rsid w:val="3B694363"/>
    <w:rsid w:val="3B6A6F30"/>
    <w:rsid w:val="3B6B3E1B"/>
    <w:rsid w:val="3B704D2F"/>
    <w:rsid w:val="3B7175ED"/>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B7405"/>
    <w:rsid w:val="3B8D0B94"/>
    <w:rsid w:val="3B8D3F60"/>
    <w:rsid w:val="3B90223A"/>
    <w:rsid w:val="3B9A055F"/>
    <w:rsid w:val="3B9C0A2C"/>
    <w:rsid w:val="3BA23EEE"/>
    <w:rsid w:val="3BA50C0C"/>
    <w:rsid w:val="3BA70120"/>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3159D"/>
    <w:rsid w:val="3BF3263D"/>
    <w:rsid w:val="3BF35896"/>
    <w:rsid w:val="3BF435CE"/>
    <w:rsid w:val="3BF64CFE"/>
    <w:rsid w:val="3BFA2827"/>
    <w:rsid w:val="3BFA7D60"/>
    <w:rsid w:val="3BFC6302"/>
    <w:rsid w:val="3BFE738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60E6"/>
    <w:rsid w:val="3C26110F"/>
    <w:rsid w:val="3C280011"/>
    <w:rsid w:val="3C2B69B2"/>
    <w:rsid w:val="3C2F312C"/>
    <w:rsid w:val="3C322615"/>
    <w:rsid w:val="3C341596"/>
    <w:rsid w:val="3C372B04"/>
    <w:rsid w:val="3C38207F"/>
    <w:rsid w:val="3C38564A"/>
    <w:rsid w:val="3C411534"/>
    <w:rsid w:val="3C480D6D"/>
    <w:rsid w:val="3C4A36CF"/>
    <w:rsid w:val="3C4D7FC6"/>
    <w:rsid w:val="3C50755E"/>
    <w:rsid w:val="3C520FB5"/>
    <w:rsid w:val="3C57055B"/>
    <w:rsid w:val="3C580735"/>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A5CF1"/>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84E4E"/>
    <w:rsid w:val="3CD927D3"/>
    <w:rsid w:val="3CDB2418"/>
    <w:rsid w:val="3CDD45F6"/>
    <w:rsid w:val="3CDD641E"/>
    <w:rsid w:val="3CDD6F13"/>
    <w:rsid w:val="3CE03540"/>
    <w:rsid w:val="3CE45ACB"/>
    <w:rsid w:val="3CEB0CD8"/>
    <w:rsid w:val="3CF012B5"/>
    <w:rsid w:val="3CF10224"/>
    <w:rsid w:val="3CF10A63"/>
    <w:rsid w:val="3CF55937"/>
    <w:rsid w:val="3CFB03F3"/>
    <w:rsid w:val="3D05649D"/>
    <w:rsid w:val="3D056F8B"/>
    <w:rsid w:val="3D0918B6"/>
    <w:rsid w:val="3D0D0F5F"/>
    <w:rsid w:val="3D0E2650"/>
    <w:rsid w:val="3D0E7B96"/>
    <w:rsid w:val="3D0F5719"/>
    <w:rsid w:val="3D126167"/>
    <w:rsid w:val="3D13316C"/>
    <w:rsid w:val="3D1C3A7C"/>
    <w:rsid w:val="3D24596E"/>
    <w:rsid w:val="3D2558DA"/>
    <w:rsid w:val="3D283331"/>
    <w:rsid w:val="3D2A7154"/>
    <w:rsid w:val="3D2D5705"/>
    <w:rsid w:val="3D2E57FB"/>
    <w:rsid w:val="3D310462"/>
    <w:rsid w:val="3D3256F4"/>
    <w:rsid w:val="3D344D4E"/>
    <w:rsid w:val="3D362CDD"/>
    <w:rsid w:val="3D3A74A4"/>
    <w:rsid w:val="3D3C4CF9"/>
    <w:rsid w:val="3D3F2289"/>
    <w:rsid w:val="3D4206BE"/>
    <w:rsid w:val="3D433BE3"/>
    <w:rsid w:val="3D4410E3"/>
    <w:rsid w:val="3D45563E"/>
    <w:rsid w:val="3D4B622D"/>
    <w:rsid w:val="3D4F1820"/>
    <w:rsid w:val="3D505E2B"/>
    <w:rsid w:val="3D5461E0"/>
    <w:rsid w:val="3D54620E"/>
    <w:rsid w:val="3D573FA9"/>
    <w:rsid w:val="3D5D13B1"/>
    <w:rsid w:val="3D6C2810"/>
    <w:rsid w:val="3D6C7D6A"/>
    <w:rsid w:val="3D6F7A34"/>
    <w:rsid w:val="3D731831"/>
    <w:rsid w:val="3D754241"/>
    <w:rsid w:val="3D7545C9"/>
    <w:rsid w:val="3D754970"/>
    <w:rsid w:val="3D757B20"/>
    <w:rsid w:val="3D761B1D"/>
    <w:rsid w:val="3D7845E4"/>
    <w:rsid w:val="3D78514D"/>
    <w:rsid w:val="3D7877C7"/>
    <w:rsid w:val="3D7E0416"/>
    <w:rsid w:val="3D806AC3"/>
    <w:rsid w:val="3D82153F"/>
    <w:rsid w:val="3D837D75"/>
    <w:rsid w:val="3D8438BD"/>
    <w:rsid w:val="3D8517F9"/>
    <w:rsid w:val="3D8B02DF"/>
    <w:rsid w:val="3D923409"/>
    <w:rsid w:val="3D965F28"/>
    <w:rsid w:val="3D9A5C4B"/>
    <w:rsid w:val="3D9B2311"/>
    <w:rsid w:val="3D9E5E72"/>
    <w:rsid w:val="3DA009B3"/>
    <w:rsid w:val="3DA009CC"/>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D02B71"/>
    <w:rsid w:val="3DD10E6B"/>
    <w:rsid w:val="3DD36973"/>
    <w:rsid w:val="3DD72892"/>
    <w:rsid w:val="3DD7736C"/>
    <w:rsid w:val="3DD841B7"/>
    <w:rsid w:val="3DDB2B21"/>
    <w:rsid w:val="3DDC6D31"/>
    <w:rsid w:val="3DE0651C"/>
    <w:rsid w:val="3DE107A0"/>
    <w:rsid w:val="3DE121B4"/>
    <w:rsid w:val="3DE21CE1"/>
    <w:rsid w:val="3DE413BA"/>
    <w:rsid w:val="3DE572D4"/>
    <w:rsid w:val="3DE637C5"/>
    <w:rsid w:val="3DE64097"/>
    <w:rsid w:val="3DE643C6"/>
    <w:rsid w:val="3DE67BD3"/>
    <w:rsid w:val="3DE67F19"/>
    <w:rsid w:val="3DE87D71"/>
    <w:rsid w:val="3DF07CAA"/>
    <w:rsid w:val="3DF145BF"/>
    <w:rsid w:val="3DF35996"/>
    <w:rsid w:val="3DF6113A"/>
    <w:rsid w:val="3DF61F15"/>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127"/>
    <w:rsid w:val="3E850395"/>
    <w:rsid w:val="3E85512E"/>
    <w:rsid w:val="3E8F5775"/>
    <w:rsid w:val="3E921F0F"/>
    <w:rsid w:val="3E9278FD"/>
    <w:rsid w:val="3E951121"/>
    <w:rsid w:val="3EA32A03"/>
    <w:rsid w:val="3EA35B18"/>
    <w:rsid w:val="3EA916AB"/>
    <w:rsid w:val="3EA96A9E"/>
    <w:rsid w:val="3EAC2DE3"/>
    <w:rsid w:val="3EB80F93"/>
    <w:rsid w:val="3EBC03EB"/>
    <w:rsid w:val="3EBC260C"/>
    <w:rsid w:val="3EBE190B"/>
    <w:rsid w:val="3EBE4AA1"/>
    <w:rsid w:val="3EC25F89"/>
    <w:rsid w:val="3EC63301"/>
    <w:rsid w:val="3ECA003B"/>
    <w:rsid w:val="3ECD13E3"/>
    <w:rsid w:val="3ED06C6B"/>
    <w:rsid w:val="3ED3410B"/>
    <w:rsid w:val="3ED641B3"/>
    <w:rsid w:val="3ED8339A"/>
    <w:rsid w:val="3EDB4B27"/>
    <w:rsid w:val="3EE250A3"/>
    <w:rsid w:val="3EE458A4"/>
    <w:rsid w:val="3EF076C8"/>
    <w:rsid w:val="3EF42362"/>
    <w:rsid w:val="3EF55FBB"/>
    <w:rsid w:val="3EF66E9E"/>
    <w:rsid w:val="3EF90C5B"/>
    <w:rsid w:val="3EF9253B"/>
    <w:rsid w:val="3EFD78BA"/>
    <w:rsid w:val="3EFF7E34"/>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1628F"/>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E2B88"/>
    <w:rsid w:val="3F8F06C2"/>
    <w:rsid w:val="3F9362BF"/>
    <w:rsid w:val="3F937D3F"/>
    <w:rsid w:val="3F9503C3"/>
    <w:rsid w:val="3F952B01"/>
    <w:rsid w:val="3F972DFE"/>
    <w:rsid w:val="3F982F2C"/>
    <w:rsid w:val="3F993301"/>
    <w:rsid w:val="3F9B40F5"/>
    <w:rsid w:val="3F9D7BD2"/>
    <w:rsid w:val="3F9E0741"/>
    <w:rsid w:val="3FA10651"/>
    <w:rsid w:val="3FA45ACD"/>
    <w:rsid w:val="3FA51106"/>
    <w:rsid w:val="3FA61856"/>
    <w:rsid w:val="3FAB5529"/>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D036C"/>
    <w:rsid w:val="3FEE160D"/>
    <w:rsid w:val="3FEE16BD"/>
    <w:rsid w:val="3FEF426B"/>
    <w:rsid w:val="3FF2578F"/>
    <w:rsid w:val="3FF25D84"/>
    <w:rsid w:val="3FF3291D"/>
    <w:rsid w:val="3FF35183"/>
    <w:rsid w:val="3FF92CFF"/>
    <w:rsid w:val="3FFB7550"/>
    <w:rsid w:val="4003101B"/>
    <w:rsid w:val="40040E62"/>
    <w:rsid w:val="400411AB"/>
    <w:rsid w:val="40076BCF"/>
    <w:rsid w:val="40097ED4"/>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84F6B"/>
    <w:rsid w:val="404A0ADE"/>
    <w:rsid w:val="404B727B"/>
    <w:rsid w:val="4051638A"/>
    <w:rsid w:val="40521B95"/>
    <w:rsid w:val="40527773"/>
    <w:rsid w:val="4053273E"/>
    <w:rsid w:val="40586B1A"/>
    <w:rsid w:val="40592F9A"/>
    <w:rsid w:val="405C46EC"/>
    <w:rsid w:val="40645970"/>
    <w:rsid w:val="406D6CD1"/>
    <w:rsid w:val="406E640F"/>
    <w:rsid w:val="40713C95"/>
    <w:rsid w:val="40777B57"/>
    <w:rsid w:val="407B5438"/>
    <w:rsid w:val="407D7B0B"/>
    <w:rsid w:val="408441D8"/>
    <w:rsid w:val="40872860"/>
    <w:rsid w:val="40892C3F"/>
    <w:rsid w:val="408A4409"/>
    <w:rsid w:val="408F04FF"/>
    <w:rsid w:val="4091196E"/>
    <w:rsid w:val="40933A21"/>
    <w:rsid w:val="40953B65"/>
    <w:rsid w:val="409D2F13"/>
    <w:rsid w:val="40A10E2D"/>
    <w:rsid w:val="40A34B97"/>
    <w:rsid w:val="40A50D72"/>
    <w:rsid w:val="40A62CBC"/>
    <w:rsid w:val="40A74477"/>
    <w:rsid w:val="40A75108"/>
    <w:rsid w:val="40A77581"/>
    <w:rsid w:val="40AB14CD"/>
    <w:rsid w:val="40AF577A"/>
    <w:rsid w:val="40B2039B"/>
    <w:rsid w:val="40B62E81"/>
    <w:rsid w:val="40B81B22"/>
    <w:rsid w:val="40BC7505"/>
    <w:rsid w:val="40C1207C"/>
    <w:rsid w:val="40C172AC"/>
    <w:rsid w:val="40C17E4D"/>
    <w:rsid w:val="40C46055"/>
    <w:rsid w:val="40C55F8D"/>
    <w:rsid w:val="40C5600E"/>
    <w:rsid w:val="40C64143"/>
    <w:rsid w:val="40D13F2C"/>
    <w:rsid w:val="40D22994"/>
    <w:rsid w:val="40D31762"/>
    <w:rsid w:val="40D42663"/>
    <w:rsid w:val="40D52670"/>
    <w:rsid w:val="40D96B50"/>
    <w:rsid w:val="40DB5285"/>
    <w:rsid w:val="40DB542E"/>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2DF1"/>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362EE"/>
    <w:rsid w:val="415720A4"/>
    <w:rsid w:val="41572D1B"/>
    <w:rsid w:val="41581AA2"/>
    <w:rsid w:val="4159014F"/>
    <w:rsid w:val="415917F4"/>
    <w:rsid w:val="41600DD6"/>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40721"/>
    <w:rsid w:val="41D66E7D"/>
    <w:rsid w:val="41D818EF"/>
    <w:rsid w:val="41D87C00"/>
    <w:rsid w:val="41D9447A"/>
    <w:rsid w:val="41DC48D7"/>
    <w:rsid w:val="41DC5AD1"/>
    <w:rsid w:val="41E26577"/>
    <w:rsid w:val="41E76E0D"/>
    <w:rsid w:val="41E923F5"/>
    <w:rsid w:val="41EB650D"/>
    <w:rsid w:val="41F16692"/>
    <w:rsid w:val="41F4517E"/>
    <w:rsid w:val="41FA376E"/>
    <w:rsid w:val="41FD6A73"/>
    <w:rsid w:val="41FE6CB2"/>
    <w:rsid w:val="42032AFE"/>
    <w:rsid w:val="42050423"/>
    <w:rsid w:val="420556C8"/>
    <w:rsid w:val="42057535"/>
    <w:rsid w:val="420C1102"/>
    <w:rsid w:val="4214720F"/>
    <w:rsid w:val="4215698E"/>
    <w:rsid w:val="421576E7"/>
    <w:rsid w:val="4217488D"/>
    <w:rsid w:val="421A74E9"/>
    <w:rsid w:val="421D7B36"/>
    <w:rsid w:val="421E17F2"/>
    <w:rsid w:val="4221247C"/>
    <w:rsid w:val="4221530F"/>
    <w:rsid w:val="42225E47"/>
    <w:rsid w:val="422345EF"/>
    <w:rsid w:val="42240668"/>
    <w:rsid w:val="42262DA1"/>
    <w:rsid w:val="422A1E24"/>
    <w:rsid w:val="422E486B"/>
    <w:rsid w:val="422F428A"/>
    <w:rsid w:val="42330617"/>
    <w:rsid w:val="423865E7"/>
    <w:rsid w:val="423A25B5"/>
    <w:rsid w:val="424409B2"/>
    <w:rsid w:val="42497ED2"/>
    <w:rsid w:val="424A3927"/>
    <w:rsid w:val="424E09CD"/>
    <w:rsid w:val="424E515B"/>
    <w:rsid w:val="42515E95"/>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45C4E"/>
    <w:rsid w:val="42890C2F"/>
    <w:rsid w:val="428B14DB"/>
    <w:rsid w:val="428B5B04"/>
    <w:rsid w:val="42924E8D"/>
    <w:rsid w:val="42932838"/>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6698"/>
    <w:rsid w:val="42E736DA"/>
    <w:rsid w:val="42E9081C"/>
    <w:rsid w:val="42EC2E29"/>
    <w:rsid w:val="42ED2458"/>
    <w:rsid w:val="42EF0CCD"/>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E62EC"/>
    <w:rsid w:val="43334F51"/>
    <w:rsid w:val="433429FE"/>
    <w:rsid w:val="4334351A"/>
    <w:rsid w:val="43353730"/>
    <w:rsid w:val="43396575"/>
    <w:rsid w:val="433B46C8"/>
    <w:rsid w:val="434C394D"/>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1364"/>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7C0D"/>
    <w:rsid w:val="43F34C64"/>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17A40"/>
    <w:rsid w:val="44465D22"/>
    <w:rsid w:val="44490D9B"/>
    <w:rsid w:val="444914A6"/>
    <w:rsid w:val="444A4A07"/>
    <w:rsid w:val="44570940"/>
    <w:rsid w:val="44574B2B"/>
    <w:rsid w:val="44597AA8"/>
    <w:rsid w:val="445F6864"/>
    <w:rsid w:val="44614A39"/>
    <w:rsid w:val="44650AA5"/>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F229C"/>
    <w:rsid w:val="44D40990"/>
    <w:rsid w:val="44D65CFD"/>
    <w:rsid w:val="44E961E2"/>
    <w:rsid w:val="44EB164C"/>
    <w:rsid w:val="44EC3FAB"/>
    <w:rsid w:val="44F36F2E"/>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335C6"/>
    <w:rsid w:val="454962E5"/>
    <w:rsid w:val="454D0A90"/>
    <w:rsid w:val="45500C3F"/>
    <w:rsid w:val="455456DA"/>
    <w:rsid w:val="455672A3"/>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268AB"/>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405A3"/>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B6A7B"/>
    <w:rsid w:val="45DF0FD4"/>
    <w:rsid w:val="45E87C6B"/>
    <w:rsid w:val="45EB60AB"/>
    <w:rsid w:val="45F10307"/>
    <w:rsid w:val="45F234A5"/>
    <w:rsid w:val="45F70650"/>
    <w:rsid w:val="45F91623"/>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12468"/>
    <w:rsid w:val="46283117"/>
    <w:rsid w:val="462A26F1"/>
    <w:rsid w:val="462A5404"/>
    <w:rsid w:val="462C4558"/>
    <w:rsid w:val="46330A6C"/>
    <w:rsid w:val="46353B16"/>
    <w:rsid w:val="46367AAC"/>
    <w:rsid w:val="46370057"/>
    <w:rsid w:val="463B1BA0"/>
    <w:rsid w:val="463B2ADE"/>
    <w:rsid w:val="46451BEB"/>
    <w:rsid w:val="4648092C"/>
    <w:rsid w:val="464B3947"/>
    <w:rsid w:val="464B754D"/>
    <w:rsid w:val="46532B01"/>
    <w:rsid w:val="46540E4D"/>
    <w:rsid w:val="46584184"/>
    <w:rsid w:val="46601858"/>
    <w:rsid w:val="4661416D"/>
    <w:rsid w:val="46630636"/>
    <w:rsid w:val="466423FB"/>
    <w:rsid w:val="4664264C"/>
    <w:rsid w:val="46665B82"/>
    <w:rsid w:val="46687376"/>
    <w:rsid w:val="46696D7B"/>
    <w:rsid w:val="466A3D97"/>
    <w:rsid w:val="466B13E5"/>
    <w:rsid w:val="466E0B75"/>
    <w:rsid w:val="4670547D"/>
    <w:rsid w:val="46736A34"/>
    <w:rsid w:val="46814267"/>
    <w:rsid w:val="46822FF2"/>
    <w:rsid w:val="468431CC"/>
    <w:rsid w:val="46845983"/>
    <w:rsid w:val="46846139"/>
    <w:rsid w:val="468706E8"/>
    <w:rsid w:val="468B73C2"/>
    <w:rsid w:val="468C1330"/>
    <w:rsid w:val="468F5D4E"/>
    <w:rsid w:val="46934B28"/>
    <w:rsid w:val="4695611E"/>
    <w:rsid w:val="469F0CB5"/>
    <w:rsid w:val="46A72384"/>
    <w:rsid w:val="46A75545"/>
    <w:rsid w:val="46AB3E47"/>
    <w:rsid w:val="46AD5953"/>
    <w:rsid w:val="46AD62DE"/>
    <w:rsid w:val="46B06152"/>
    <w:rsid w:val="46B34986"/>
    <w:rsid w:val="46B56FB5"/>
    <w:rsid w:val="46B8054D"/>
    <w:rsid w:val="46B861B8"/>
    <w:rsid w:val="46BC4323"/>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333F5"/>
    <w:rsid w:val="479351C8"/>
    <w:rsid w:val="479453B5"/>
    <w:rsid w:val="47974EBF"/>
    <w:rsid w:val="479B37FB"/>
    <w:rsid w:val="479C0703"/>
    <w:rsid w:val="47A07EF9"/>
    <w:rsid w:val="47A25784"/>
    <w:rsid w:val="47A62310"/>
    <w:rsid w:val="47AA41FD"/>
    <w:rsid w:val="47AC7C90"/>
    <w:rsid w:val="47AE368F"/>
    <w:rsid w:val="47AE3E9C"/>
    <w:rsid w:val="47AE45B1"/>
    <w:rsid w:val="47BD7E3A"/>
    <w:rsid w:val="47C77300"/>
    <w:rsid w:val="47D03D38"/>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0BBD"/>
    <w:rsid w:val="4822244F"/>
    <w:rsid w:val="48251E66"/>
    <w:rsid w:val="482A6776"/>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E1954"/>
    <w:rsid w:val="48BE3B16"/>
    <w:rsid w:val="48C3021E"/>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6690A"/>
    <w:rsid w:val="48F67575"/>
    <w:rsid w:val="48F87799"/>
    <w:rsid w:val="48FA41DA"/>
    <w:rsid w:val="48FD5FB6"/>
    <w:rsid w:val="48FE7EBB"/>
    <w:rsid w:val="4903303B"/>
    <w:rsid w:val="49082409"/>
    <w:rsid w:val="490B4253"/>
    <w:rsid w:val="490C37DF"/>
    <w:rsid w:val="490D3830"/>
    <w:rsid w:val="490E76E4"/>
    <w:rsid w:val="491128E1"/>
    <w:rsid w:val="49142E59"/>
    <w:rsid w:val="491432B2"/>
    <w:rsid w:val="491A1F5D"/>
    <w:rsid w:val="491A7A8B"/>
    <w:rsid w:val="491F78FE"/>
    <w:rsid w:val="49260120"/>
    <w:rsid w:val="4927154D"/>
    <w:rsid w:val="492A77D0"/>
    <w:rsid w:val="492B3A51"/>
    <w:rsid w:val="4934122F"/>
    <w:rsid w:val="493565CC"/>
    <w:rsid w:val="493573CE"/>
    <w:rsid w:val="49390A94"/>
    <w:rsid w:val="493D13E1"/>
    <w:rsid w:val="49442B61"/>
    <w:rsid w:val="49445090"/>
    <w:rsid w:val="494530C8"/>
    <w:rsid w:val="494673D9"/>
    <w:rsid w:val="49491A57"/>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8102F"/>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0288B"/>
    <w:rsid w:val="49FC5A52"/>
    <w:rsid w:val="49FC5C7C"/>
    <w:rsid w:val="49FC7FA2"/>
    <w:rsid w:val="49FE278A"/>
    <w:rsid w:val="49FE57FB"/>
    <w:rsid w:val="4A01601E"/>
    <w:rsid w:val="4A017C98"/>
    <w:rsid w:val="4A080E5C"/>
    <w:rsid w:val="4A0B352C"/>
    <w:rsid w:val="4A0C0468"/>
    <w:rsid w:val="4A0C4EB4"/>
    <w:rsid w:val="4A0D0C94"/>
    <w:rsid w:val="4A0F3A1C"/>
    <w:rsid w:val="4A105073"/>
    <w:rsid w:val="4A1C1EE0"/>
    <w:rsid w:val="4A1C512E"/>
    <w:rsid w:val="4A1D2C8C"/>
    <w:rsid w:val="4A1E5AFF"/>
    <w:rsid w:val="4A2070E3"/>
    <w:rsid w:val="4A210B7E"/>
    <w:rsid w:val="4A224267"/>
    <w:rsid w:val="4A24130F"/>
    <w:rsid w:val="4A2716CA"/>
    <w:rsid w:val="4A280770"/>
    <w:rsid w:val="4A294C7A"/>
    <w:rsid w:val="4A2B636B"/>
    <w:rsid w:val="4A2D5F61"/>
    <w:rsid w:val="4A335E86"/>
    <w:rsid w:val="4A345CFB"/>
    <w:rsid w:val="4A357040"/>
    <w:rsid w:val="4A370FD7"/>
    <w:rsid w:val="4A3A09CD"/>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B6771"/>
    <w:rsid w:val="4A7C187A"/>
    <w:rsid w:val="4A7F6FEC"/>
    <w:rsid w:val="4A833B85"/>
    <w:rsid w:val="4A8369E6"/>
    <w:rsid w:val="4A853B44"/>
    <w:rsid w:val="4A89373F"/>
    <w:rsid w:val="4A8A2132"/>
    <w:rsid w:val="4A8E1531"/>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E4335"/>
    <w:rsid w:val="4AE137C9"/>
    <w:rsid w:val="4AE964A0"/>
    <w:rsid w:val="4AEA606D"/>
    <w:rsid w:val="4AF157AF"/>
    <w:rsid w:val="4AF20166"/>
    <w:rsid w:val="4AF250F4"/>
    <w:rsid w:val="4AF30717"/>
    <w:rsid w:val="4AFA3F80"/>
    <w:rsid w:val="4AFB6C5C"/>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67FA"/>
    <w:rsid w:val="4B1D2051"/>
    <w:rsid w:val="4B206A6B"/>
    <w:rsid w:val="4B297805"/>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736854"/>
    <w:rsid w:val="4B741C5B"/>
    <w:rsid w:val="4B7831B7"/>
    <w:rsid w:val="4B7B0348"/>
    <w:rsid w:val="4B811257"/>
    <w:rsid w:val="4B816D3B"/>
    <w:rsid w:val="4B821B36"/>
    <w:rsid w:val="4B827CCC"/>
    <w:rsid w:val="4B83233B"/>
    <w:rsid w:val="4B8A674C"/>
    <w:rsid w:val="4B8F1479"/>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74DE8"/>
    <w:rsid w:val="4C090003"/>
    <w:rsid w:val="4C0E4DDE"/>
    <w:rsid w:val="4C0F1FA0"/>
    <w:rsid w:val="4C115FC6"/>
    <w:rsid w:val="4C1A44FD"/>
    <w:rsid w:val="4C1B4CDE"/>
    <w:rsid w:val="4C1B6E3F"/>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C00DD"/>
    <w:rsid w:val="4C6C5FB4"/>
    <w:rsid w:val="4C6D5048"/>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82CCB"/>
    <w:rsid w:val="4D3B0776"/>
    <w:rsid w:val="4D3B78D6"/>
    <w:rsid w:val="4D3C6DD0"/>
    <w:rsid w:val="4D3C6E85"/>
    <w:rsid w:val="4D436720"/>
    <w:rsid w:val="4D452E9A"/>
    <w:rsid w:val="4D4915C0"/>
    <w:rsid w:val="4D497A50"/>
    <w:rsid w:val="4D4E1B73"/>
    <w:rsid w:val="4D5448EE"/>
    <w:rsid w:val="4D547B90"/>
    <w:rsid w:val="4D5545A3"/>
    <w:rsid w:val="4D56242D"/>
    <w:rsid w:val="4D562BB4"/>
    <w:rsid w:val="4D5742F7"/>
    <w:rsid w:val="4D5816C9"/>
    <w:rsid w:val="4D5E0D8B"/>
    <w:rsid w:val="4D5E313C"/>
    <w:rsid w:val="4D6046F9"/>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45189"/>
    <w:rsid w:val="4D862752"/>
    <w:rsid w:val="4D866EF9"/>
    <w:rsid w:val="4D8808E0"/>
    <w:rsid w:val="4D8A3A34"/>
    <w:rsid w:val="4D8C2260"/>
    <w:rsid w:val="4D931B21"/>
    <w:rsid w:val="4D962DD6"/>
    <w:rsid w:val="4D981807"/>
    <w:rsid w:val="4D9A5771"/>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84228"/>
    <w:rsid w:val="4E1B2345"/>
    <w:rsid w:val="4E204957"/>
    <w:rsid w:val="4E2453EA"/>
    <w:rsid w:val="4E2530FC"/>
    <w:rsid w:val="4E255B5C"/>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B1BFD"/>
    <w:rsid w:val="4E5C715A"/>
    <w:rsid w:val="4E5D1E4B"/>
    <w:rsid w:val="4E5E1F38"/>
    <w:rsid w:val="4E5F36B7"/>
    <w:rsid w:val="4E627712"/>
    <w:rsid w:val="4E6C140A"/>
    <w:rsid w:val="4E6C617F"/>
    <w:rsid w:val="4E6D099B"/>
    <w:rsid w:val="4E6D4DA7"/>
    <w:rsid w:val="4E7964A9"/>
    <w:rsid w:val="4E7D1F26"/>
    <w:rsid w:val="4E7F10F7"/>
    <w:rsid w:val="4E833A1C"/>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D208A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66CE"/>
    <w:rsid w:val="4F1A0622"/>
    <w:rsid w:val="4F1E4099"/>
    <w:rsid w:val="4F1E74EE"/>
    <w:rsid w:val="4F222296"/>
    <w:rsid w:val="4F232152"/>
    <w:rsid w:val="4F247513"/>
    <w:rsid w:val="4F256656"/>
    <w:rsid w:val="4F301061"/>
    <w:rsid w:val="4F312150"/>
    <w:rsid w:val="4F333DDA"/>
    <w:rsid w:val="4F363754"/>
    <w:rsid w:val="4F394923"/>
    <w:rsid w:val="4F3A030D"/>
    <w:rsid w:val="4F3B3972"/>
    <w:rsid w:val="4F3B5033"/>
    <w:rsid w:val="4F40472E"/>
    <w:rsid w:val="4F4078EF"/>
    <w:rsid w:val="4F4331DE"/>
    <w:rsid w:val="4F4373C1"/>
    <w:rsid w:val="4F442E00"/>
    <w:rsid w:val="4F451A6D"/>
    <w:rsid w:val="4F465945"/>
    <w:rsid w:val="4F4B1F01"/>
    <w:rsid w:val="4F4B3C13"/>
    <w:rsid w:val="4F4D5DDB"/>
    <w:rsid w:val="4F4D7D3A"/>
    <w:rsid w:val="4F515151"/>
    <w:rsid w:val="4F5A2231"/>
    <w:rsid w:val="4F5D4209"/>
    <w:rsid w:val="4F636456"/>
    <w:rsid w:val="4F645321"/>
    <w:rsid w:val="4F67312A"/>
    <w:rsid w:val="4F693441"/>
    <w:rsid w:val="4F6B21B4"/>
    <w:rsid w:val="4F7457B4"/>
    <w:rsid w:val="4F787187"/>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595"/>
    <w:rsid w:val="4FCF59AE"/>
    <w:rsid w:val="4FD10960"/>
    <w:rsid w:val="4FD25EE1"/>
    <w:rsid w:val="4FD27897"/>
    <w:rsid w:val="4FD72D6F"/>
    <w:rsid w:val="4FD77297"/>
    <w:rsid w:val="4FDB0443"/>
    <w:rsid w:val="4FDC67FA"/>
    <w:rsid w:val="4FE465F0"/>
    <w:rsid w:val="4FE47BFB"/>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3417D4"/>
    <w:rsid w:val="5034215C"/>
    <w:rsid w:val="50344279"/>
    <w:rsid w:val="50375EAE"/>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7D48CA"/>
    <w:rsid w:val="50825850"/>
    <w:rsid w:val="5083437F"/>
    <w:rsid w:val="50866F4D"/>
    <w:rsid w:val="50892381"/>
    <w:rsid w:val="508A13D7"/>
    <w:rsid w:val="508E78AC"/>
    <w:rsid w:val="50950349"/>
    <w:rsid w:val="50984F82"/>
    <w:rsid w:val="509B0639"/>
    <w:rsid w:val="50A20EE3"/>
    <w:rsid w:val="50A37037"/>
    <w:rsid w:val="50AC70CB"/>
    <w:rsid w:val="50AD52AF"/>
    <w:rsid w:val="50B502A3"/>
    <w:rsid w:val="50B66209"/>
    <w:rsid w:val="50B91558"/>
    <w:rsid w:val="50BA0905"/>
    <w:rsid w:val="50BB34BB"/>
    <w:rsid w:val="50C3009F"/>
    <w:rsid w:val="50C6694B"/>
    <w:rsid w:val="50CB0040"/>
    <w:rsid w:val="50D35D16"/>
    <w:rsid w:val="50D433C9"/>
    <w:rsid w:val="50D444D1"/>
    <w:rsid w:val="50D61408"/>
    <w:rsid w:val="50D67365"/>
    <w:rsid w:val="50D85E25"/>
    <w:rsid w:val="50D93965"/>
    <w:rsid w:val="50D97ACF"/>
    <w:rsid w:val="50D97E87"/>
    <w:rsid w:val="50DE264E"/>
    <w:rsid w:val="50DE2C94"/>
    <w:rsid w:val="50DF0890"/>
    <w:rsid w:val="50E17898"/>
    <w:rsid w:val="50E4551D"/>
    <w:rsid w:val="50E56C08"/>
    <w:rsid w:val="50EC29BF"/>
    <w:rsid w:val="50F26C11"/>
    <w:rsid w:val="50F67EBD"/>
    <w:rsid w:val="50F74AA2"/>
    <w:rsid w:val="50F7705F"/>
    <w:rsid w:val="51024007"/>
    <w:rsid w:val="51075A5B"/>
    <w:rsid w:val="510B3924"/>
    <w:rsid w:val="510E7722"/>
    <w:rsid w:val="51105275"/>
    <w:rsid w:val="511462DE"/>
    <w:rsid w:val="51152737"/>
    <w:rsid w:val="511934F5"/>
    <w:rsid w:val="511A650A"/>
    <w:rsid w:val="511C173D"/>
    <w:rsid w:val="511D2BDD"/>
    <w:rsid w:val="511D39C8"/>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93A83"/>
    <w:rsid w:val="513B3DF9"/>
    <w:rsid w:val="513C658B"/>
    <w:rsid w:val="513F4B97"/>
    <w:rsid w:val="51401B57"/>
    <w:rsid w:val="51441568"/>
    <w:rsid w:val="5145236D"/>
    <w:rsid w:val="514576D5"/>
    <w:rsid w:val="51480A97"/>
    <w:rsid w:val="514A03E9"/>
    <w:rsid w:val="514E3CC7"/>
    <w:rsid w:val="514F50B6"/>
    <w:rsid w:val="515278BC"/>
    <w:rsid w:val="5156447F"/>
    <w:rsid w:val="515842D5"/>
    <w:rsid w:val="515934C1"/>
    <w:rsid w:val="515C4DD5"/>
    <w:rsid w:val="5160248A"/>
    <w:rsid w:val="51624BEE"/>
    <w:rsid w:val="51627F0D"/>
    <w:rsid w:val="516E206D"/>
    <w:rsid w:val="51741E6C"/>
    <w:rsid w:val="51750121"/>
    <w:rsid w:val="51756972"/>
    <w:rsid w:val="517A63F0"/>
    <w:rsid w:val="517B7342"/>
    <w:rsid w:val="517C59A3"/>
    <w:rsid w:val="517E1E1F"/>
    <w:rsid w:val="51813564"/>
    <w:rsid w:val="51841E7F"/>
    <w:rsid w:val="51844B36"/>
    <w:rsid w:val="51885CF3"/>
    <w:rsid w:val="518A030E"/>
    <w:rsid w:val="518A2551"/>
    <w:rsid w:val="518A618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C3AE9"/>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2013C23"/>
    <w:rsid w:val="52022324"/>
    <w:rsid w:val="5205030D"/>
    <w:rsid w:val="520C3ABF"/>
    <w:rsid w:val="520D17A8"/>
    <w:rsid w:val="520F2611"/>
    <w:rsid w:val="52134354"/>
    <w:rsid w:val="52160B1E"/>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460689"/>
    <w:rsid w:val="52462CDF"/>
    <w:rsid w:val="5247336B"/>
    <w:rsid w:val="52476405"/>
    <w:rsid w:val="524A5C68"/>
    <w:rsid w:val="524E0FB6"/>
    <w:rsid w:val="52532968"/>
    <w:rsid w:val="525401C2"/>
    <w:rsid w:val="52546140"/>
    <w:rsid w:val="52572361"/>
    <w:rsid w:val="525734A2"/>
    <w:rsid w:val="525D3774"/>
    <w:rsid w:val="525F3DCF"/>
    <w:rsid w:val="525F53B1"/>
    <w:rsid w:val="526435C3"/>
    <w:rsid w:val="526913E6"/>
    <w:rsid w:val="527008EF"/>
    <w:rsid w:val="52734368"/>
    <w:rsid w:val="52836832"/>
    <w:rsid w:val="52843C38"/>
    <w:rsid w:val="52847FDA"/>
    <w:rsid w:val="528B7F58"/>
    <w:rsid w:val="528D6C4E"/>
    <w:rsid w:val="52983F10"/>
    <w:rsid w:val="52985187"/>
    <w:rsid w:val="529921F1"/>
    <w:rsid w:val="529A7E86"/>
    <w:rsid w:val="529E12E7"/>
    <w:rsid w:val="529F3A66"/>
    <w:rsid w:val="52A036C2"/>
    <w:rsid w:val="52A219C4"/>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EF1F4D"/>
    <w:rsid w:val="52F42816"/>
    <w:rsid w:val="52F55FC5"/>
    <w:rsid w:val="52F965B2"/>
    <w:rsid w:val="52FB5446"/>
    <w:rsid w:val="52FE47A9"/>
    <w:rsid w:val="5305168A"/>
    <w:rsid w:val="53063DBD"/>
    <w:rsid w:val="530A4B3F"/>
    <w:rsid w:val="53172A50"/>
    <w:rsid w:val="531A397A"/>
    <w:rsid w:val="531A546B"/>
    <w:rsid w:val="531B0D04"/>
    <w:rsid w:val="531B486E"/>
    <w:rsid w:val="531C1B2E"/>
    <w:rsid w:val="532225EA"/>
    <w:rsid w:val="532274CE"/>
    <w:rsid w:val="53240747"/>
    <w:rsid w:val="532522FD"/>
    <w:rsid w:val="53275C7D"/>
    <w:rsid w:val="53286927"/>
    <w:rsid w:val="53293900"/>
    <w:rsid w:val="532D3BA5"/>
    <w:rsid w:val="53311BF2"/>
    <w:rsid w:val="534531B7"/>
    <w:rsid w:val="53456AB3"/>
    <w:rsid w:val="5345705F"/>
    <w:rsid w:val="534718C6"/>
    <w:rsid w:val="53496F02"/>
    <w:rsid w:val="534D106F"/>
    <w:rsid w:val="534F4759"/>
    <w:rsid w:val="53500EF4"/>
    <w:rsid w:val="5350785D"/>
    <w:rsid w:val="535136AE"/>
    <w:rsid w:val="535438C1"/>
    <w:rsid w:val="53551B7F"/>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2113"/>
    <w:rsid w:val="5381746B"/>
    <w:rsid w:val="538459BE"/>
    <w:rsid w:val="53893051"/>
    <w:rsid w:val="538E039B"/>
    <w:rsid w:val="538E1B8B"/>
    <w:rsid w:val="538E4601"/>
    <w:rsid w:val="53916407"/>
    <w:rsid w:val="539263A1"/>
    <w:rsid w:val="53930D1A"/>
    <w:rsid w:val="53955575"/>
    <w:rsid w:val="5397293F"/>
    <w:rsid w:val="53975570"/>
    <w:rsid w:val="539B4140"/>
    <w:rsid w:val="539C6113"/>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35406"/>
    <w:rsid w:val="541510B4"/>
    <w:rsid w:val="541511E9"/>
    <w:rsid w:val="54161786"/>
    <w:rsid w:val="541777A3"/>
    <w:rsid w:val="541A6486"/>
    <w:rsid w:val="541B31F9"/>
    <w:rsid w:val="541C194E"/>
    <w:rsid w:val="541D180D"/>
    <w:rsid w:val="54247E64"/>
    <w:rsid w:val="54287B8E"/>
    <w:rsid w:val="542919B1"/>
    <w:rsid w:val="542D6B57"/>
    <w:rsid w:val="543273D1"/>
    <w:rsid w:val="54332FCB"/>
    <w:rsid w:val="54362EE9"/>
    <w:rsid w:val="54372B10"/>
    <w:rsid w:val="543C5229"/>
    <w:rsid w:val="54406295"/>
    <w:rsid w:val="54412BF0"/>
    <w:rsid w:val="54422EDA"/>
    <w:rsid w:val="544417C9"/>
    <w:rsid w:val="54475EA1"/>
    <w:rsid w:val="54491564"/>
    <w:rsid w:val="544A266E"/>
    <w:rsid w:val="54514458"/>
    <w:rsid w:val="54564266"/>
    <w:rsid w:val="545C2441"/>
    <w:rsid w:val="545F158C"/>
    <w:rsid w:val="5460480E"/>
    <w:rsid w:val="54674D1D"/>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A3E51"/>
    <w:rsid w:val="549B144B"/>
    <w:rsid w:val="549B20E6"/>
    <w:rsid w:val="549E4DCB"/>
    <w:rsid w:val="54A60315"/>
    <w:rsid w:val="54A86088"/>
    <w:rsid w:val="54AE07B7"/>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7F3E"/>
    <w:rsid w:val="54E74D81"/>
    <w:rsid w:val="54E925A9"/>
    <w:rsid w:val="54E95BA4"/>
    <w:rsid w:val="54EE0FDE"/>
    <w:rsid w:val="54F83B50"/>
    <w:rsid w:val="54FE7371"/>
    <w:rsid w:val="550A7CAD"/>
    <w:rsid w:val="55127CC5"/>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6624F"/>
    <w:rsid w:val="555846D7"/>
    <w:rsid w:val="55594E86"/>
    <w:rsid w:val="555A05B0"/>
    <w:rsid w:val="555B1111"/>
    <w:rsid w:val="555B2944"/>
    <w:rsid w:val="55614B24"/>
    <w:rsid w:val="55616A4F"/>
    <w:rsid w:val="5565285E"/>
    <w:rsid w:val="55694AF9"/>
    <w:rsid w:val="556C1631"/>
    <w:rsid w:val="556F7E62"/>
    <w:rsid w:val="556F7F43"/>
    <w:rsid w:val="5576748A"/>
    <w:rsid w:val="55781B8B"/>
    <w:rsid w:val="55784732"/>
    <w:rsid w:val="55792861"/>
    <w:rsid w:val="55796E3E"/>
    <w:rsid w:val="557C6EDF"/>
    <w:rsid w:val="557E71FE"/>
    <w:rsid w:val="5584057B"/>
    <w:rsid w:val="558D5021"/>
    <w:rsid w:val="558F35A7"/>
    <w:rsid w:val="55927D1F"/>
    <w:rsid w:val="55985654"/>
    <w:rsid w:val="559A4FD6"/>
    <w:rsid w:val="559A5BFB"/>
    <w:rsid w:val="559E481D"/>
    <w:rsid w:val="55A35F7F"/>
    <w:rsid w:val="55B353EE"/>
    <w:rsid w:val="55B44AB4"/>
    <w:rsid w:val="55B85ACE"/>
    <w:rsid w:val="55B952E9"/>
    <w:rsid w:val="55BE6A5B"/>
    <w:rsid w:val="55C07A6A"/>
    <w:rsid w:val="55C10503"/>
    <w:rsid w:val="55C2581B"/>
    <w:rsid w:val="55C265C4"/>
    <w:rsid w:val="55C60B6B"/>
    <w:rsid w:val="55C75432"/>
    <w:rsid w:val="55C80FED"/>
    <w:rsid w:val="55C90403"/>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55069"/>
    <w:rsid w:val="55F56D0E"/>
    <w:rsid w:val="55F75CA6"/>
    <w:rsid w:val="55F8394B"/>
    <w:rsid w:val="55F84691"/>
    <w:rsid w:val="55FC0227"/>
    <w:rsid w:val="55FC1DF1"/>
    <w:rsid w:val="55FD5512"/>
    <w:rsid w:val="55FD6C2D"/>
    <w:rsid w:val="55FE7359"/>
    <w:rsid w:val="56012FC1"/>
    <w:rsid w:val="56016E3E"/>
    <w:rsid w:val="5602472C"/>
    <w:rsid w:val="560B1611"/>
    <w:rsid w:val="5611754A"/>
    <w:rsid w:val="56161C0B"/>
    <w:rsid w:val="56195327"/>
    <w:rsid w:val="561978EB"/>
    <w:rsid w:val="561D0938"/>
    <w:rsid w:val="5622121F"/>
    <w:rsid w:val="562241FB"/>
    <w:rsid w:val="56254844"/>
    <w:rsid w:val="562C01AC"/>
    <w:rsid w:val="562C48A4"/>
    <w:rsid w:val="562E289A"/>
    <w:rsid w:val="56310CCA"/>
    <w:rsid w:val="56316AE5"/>
    <w:rsid w:val="5632588F"/>
    <w:rsid w:val="5635337A"/>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27839"/>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86788"/>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70ED"/>
    <w:rsid w:val="56E358E7"/>
    <w:rsid w:val="56E365E9"/>
    <w:rsid w:val="56EA3486"/>
    <w:rsid w:val="56EA585F"/>
    <w:rsid w:val="56EB338E"/>
    <w:rsid w:val="56EB4412"/>
    <w:rsid w:val="56F24EA1"/>
    <w:rsid w:val="56F418BC"/>
    <w:rsid w:val="56F9705F"/>
    <w:rsid w:val="57005E0B"/>
    <w:rsid w:val="5702176B"/>
    <w:rsid w:val="57024A7F"/>
    <w:rsid w:val="5708093B"/>
    <w:rsid w:val="57095AA8"/>
    <w:rsid w:val="570C2BE8"/>
    <w:rsid w:val="570D00B1"/>
    <w:rsid w:val="571203B4"/>
    <w:rsid w:val="571369AE"/>
    <w:rsid w:val="5716594D"/>
    <w:rsid w:val="57212288"/>
    <w:rsid w:val="57236AD8"/>
    <w:rsid w:val="57273EC6"/>
    <w:rsid w:val="572E3DC7"/>
    <w:rsid w:val="57320543"/>
    <w:rsid w:val="57330C79"/>
    <w:rsid w:val="57356E87"/>
    <w:rsid w:val="573A01AE"/>
    <w:rsid w:val="573A1BD7"/>
    <w:rsid w:val="573B42AB"/>
    <w:rsid w:val="573C2D65"/>
    <w:rsid w:val="573D0DE5"/>
    <w:rsid w:val="57405EA8"/>
    <w:rsid w:val="57451AF1"/>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93DEA"/>
    <w:rsid w:val="57AD63CA"/>
    <w:rsid w:val="57B12D5D"/>
    <w:rsid w:val="57B55AA5"/>
    <w:rsid w:val="57BF4BA2"/>
    <w:rsid w:val="57C0641D"/>
    <w:rsid w:val="57C12479"/>
    <w:rsid w:val="57C302C5"/>
    <w:rsid w:val="57C648C9"/>
    <w:rsid w:val="57C931DC"/>
    <w:rsid w:val="57D20BE2"/>
    <w:rsid w:val="57D35A44"/>
    <w:rsid w:val="57D4431C"/>
    <w:rsid w:val="57D45D9A"/>
    <w:rsid w:val="57D5434D"/>
    <w:rsid w:val="57DC551A"/>
    <w:rsid w:val="57E20F7F"/>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0383D"/>
    <w:rsid w:val="585352BC"/>
    <w:rsid w:val="585501BC"/>
    <w:rsid w:val="58550B07"/>
    <w:rsid w:val="58577099"/>
    <w:rsid w:val="58586901"/>
    <w:rsid w:val="586250A0"/>
    <w:rsid w:val="58650C5B"/>
    <w:rsid w:val="5868260B"/>
    <w:rsid w:val="58691A05"/>
    <w:rsid w:val="5872241A"/>
    <w:rsid w:val="58744E3C"/>
    <w:rsid w:val="587527DD"/>
    <w:rsid w:val="587C10E7"/>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15447"/>
    <w:rsid w:val="58B238F2"/>
    <w:rsid w:val="58B35066"/>
    <w:rsid w:val="58B71C61"/>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13AF"/>
    <w:rsid w:val="592A4996"/>
    <w:rsid w:val="592A53F3"/>
    <w:rsid w:val="593452FF"/>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61CF4"/>
    <w:rsid w:val="59674983"/>
    <w:rsid w:val="596919E9"/>
    <w:rsid w:val="59695EEC"/>
    <w:rsid w:val="596D487C"/>
    <w:rsid w:val="59702FC0"/>
    <w:rsid w:val="59712E2D"/>
    <w:rsid w:val="597556DD"/>
    <w:rsid w:val="597A22E5"/>
    <w:rsid w:val="597A6EA9"/>
    <w:rsid w:val="597A7168"/>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90F66"/>
    <w:rsid w:val="59FF3986"/>
    <w:rsid w:val="59FF713F"/>
    <w:rsid w:val="5A033838"/>
    <w:rsid w:val="5A033A8B"/>
    <w:rsid w:val="5A035174"/>
    <w:rsid w:val="5A061239"/>
    <w:rsid w:val="5A09550A"/>
    <w:rsid w:val="5A0A1F2D"/>
    <w:rsid w:val="5A16478D"/>
    <w:rsid w:val="5A181C1F"/>
    <w:rsid w:val="5A1867FB"/>
    <w:rsid w:val="5A1B55E1"/>
    <w:rsid w:val="5A1D7220"/>
    <w:rsid w:val="5A265B9B"/>
    <w:rsid w:val="5A26749B"/>
    <w:rsid w:val="5A2718A2"/>
    <w:rsid w:val="5A2F2E3C"/>
    <w:rsid w:val="5A2F36F8"/>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6E3066"/>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50CDA"/>
    <w:rsid w:val="5AA77EBD"/>
    <w:rsid w:val="5AAB3608"/>
    <w:rsid w:val="5AAD115C"/>
    <w:rsid w:val="5AAF0085"/>
    <w:rsid w:val="5AB143A8"/>
    <w:rsid w:val="5AB14918"/>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8004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6132E"/>
    <w:rsid w:val="5BEB0994"/>
    <w:rsid w:val="5BEB711B"/>
    <w:rsid w:val="5BF069A9"/>
    <w:rsid w:val="5BF2577B"/>
    <w:rsid w:val="5BFF68A2"/>
    <w:rsid w:val="5C010EEF"/>
    <w:rsid w:val="5C062C85"/>
    <w:rsid w:val="5C0D1FAC"/>
    <w:rsid w:val="5C0D3C7C"/>
    <w:rsid w:val="5C0F3C27"/>
    <w:rsid w:val="5C110CAC"/>
    <w:rsid w:val="5C126A47"/>
    <w:rsid w:val="5C152995"/>
    <w:rsid w:val="5C1857EE"/>
    <w:rsid w:val="5C185F94"/>
    <w:rsid w:val="5C192189"/>
    <w:rsid w:val="5C1A0B69"/>
    <w:rsid w:val="5C1C7AB3"/>
    <w:rsid w:val="5C1D79BD"/>
    <w:rsid w:val="5C211B28"/>
    <w:rsid w:val="5C2446EA"/>
    <w:rsid w:val="5C295A96"/>
    <w:rsid w:val="5C2A116B"/>
    <w:rsid w:val="5C2C51CA"/>
    <w:rsid w:val="5C2E0ABA"/>
    <w:rsid w:val="5C313602"/>
    <w:rsid w:val="5C324D96"/>
    <w:rsid w:val="5C3A18CA"/>
    <w:rsid w:val="5C3A18DF"/>
    <w:rsid w:val="5C3E5639"/>
    <w:rsid w:val="5C3E73FE"/>
    <w:rsid w:val="5C4302AF"/>
    <w:rsid w:val="5C430DAA"/>
    <w:rsid w:val="5C463F6A"/>
    <w:rsid w:val="5C496E06"/>
    <w:rsid w:val="5C501594"/>
    <w:rsid w:val="5C522BE4"/>
    <w:rsid w:val="5C536E44"/>
    <w:rsid w:val="5C571A41"/>
    <w:rsid w:val="5C574D75"/>
    <w:rsid w:val="5C5D5D6D"/>
    <w:rsid w:val="5C60120B"/>
    <w:rsid w:val="5C63455C"/>
    <w:rsid w:val="5C635952"/>
    <w:rsid w:val="5C663F53"/>
    <w:rsid w:val="5C6652E6"/>
    <w:rsid w:val="5C690B0C"/>
    <w:rsid w:val="5C6A39B4"/>
    <w:rsid w:val="5C7103F1"/>
    <w:rsid w:val="5C712199"/>
    <w:rsid w:val="5C7215A0"/>
    <w:rsid w:val="5C73277D"/>
    <w:rsid w:val="5C7902CA"/>
    <w:rsid w:val="5C7C5E2E"/>
    <w:rsid w:val="5C85401D"/>
    <w:rsid w:val="5C884129"/>
    <w:rsid w:val="5C8D72C6"/>
    <w:rsid w:val="5C8E4677"/>
    <w:rsid w:val="5C8E4D46"/>
    <w:rsid w:val="5C911EB8"/>
    <w:rsid w:val="5C931E8B"/>
    <w:rsid w:val="5C945015"/>
    <w:rsid w:val="5C945717"/>
    <w:rsid w:val="5C957958"/>
    <w:rsid w:val="5C9654F7"/>
    <w:rsid w:val="5C985759"/>
    <w:rsid w:val="5C9C33FA"/>
    <w:rsid w:val="5C9E0390"/>
    <w:rsid w:val="5C9E045D"/>
    <w:rsid w:val="5CA04AEF"/>
    <w:rsid w:val="5CA15E2E"/>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53D56"/>
    <w:rsid w:val="5CCA2082"/>
    <w:rsid w:val="5CCB24F1"/>
    <w:rsid w:val="5CCE39C9"/>
    <w:rsid w:val="5CD228A4"/>
    <w:rsid w:val="5CD274FA"/>
    <w:rsid w:val="5CD30ADD"/>
    <w:rsid w:val="5CD43D55"/>
    <w:rsid w:val="5CD51613"/>
    <w:rsid w:val="5CD51A0B"/>
    <w:rsid w:val="5CD60FB2"/>
    <w:rsid w:val="5CD64B8F"/>
    <w:rsid w:val="5CD73EA1"/>
    <w:rsid w:val="5CD9009B"/>
    <w:rsid w:val="5CDD4918"/>
    <w:rsid w:val="5CE35510"/>
    <w:rsid w:val="5CE4012F"/>
    <w:rsid w:val="5CE87597"/>
    <w:rsid w:val="5CEA0714"/>
    <w:rsid w:val="5CEC5FF7"/>
    <w:rsid w:val="5CF05FF8"/>
    <w:rsid w:val="5CF61D7D"/>
    <w:rsid w:val="5CFA0127"/>
    <w:rsid w:val="5CFD212D"/>
    <w:rsid w:val="5CFE554A"/>
    <w:rsid w:val="5D004FD7"/>
    <w:rsid w:val="5D006271"/>
    <w:rsid w:val="5D0370EB"/>
    <w:rsid w:val="5D0C3D3D"/>
    <w:rsid w:val="5D0D7725"/>
    <w:rsid w:val="5D0E426F"/>
    <w:rsid w:val="5D0F3CF6"/>
    <w:rsid w:val="5D1102F0"/>
    <w:rsid w:val="5D1315D5"/>
    <w:rsid w:val="5D1A5C45"/>
    <w:rsid w:val="5D1C2240"/>
    <w:rsid w:val="5D1D2BD6"/>
    <w:rsid w:val="5D1E10C8"/>
    <w:rsid w:val="5D241D0D"/>
    <w:rsid w:val="5D2454F1"/>
    <w:rsid w:val="5D250ACE"/>
    <w:rsid w:val="5D2622B7"/>
    <w:rsid w:val="5D2853F4"/>
    <w:rsid w:val="5D287792"/>
    <w:rsid w:val="5D292DCD"/>
    <w:rsid w:val="5D2B0B6A"/>
    <w:rsid w:val="5D2C7B52"/>
    <w:rsid w:val="5D342ACA"/>
    <w:rsid w:val="5D366F73"/>
    <w:rsid w:val="5D3A4F24"/>
    <w:rsid w:val="5D3B7727"/>
    <w:rsid w:val="5D3C25BD"/>
    <w:rsid w:val="5D3F35DD"/>
    <w:rsid w:val="5D403759"/>
    <w:rsid w:val="5D405301"/>
    <w:rsid w:val="5D431090"/>
    <w:rsid w:val="5D45145C"/>
    <w:rsid w:val="5D47432B"/>
    <w:rsid w:val="5D4A3B3F"/>
    <w:rsid w:val="5D4E03ED"/>
    <w:rsid w:val="5D4F405B"/>
    <w:rsid w:val="5D4F7E0F"/>
    <w:rsid w:val="5D513F7F"/>
    <w:rsid w:val="5D545032"/>
    <w:rsid w:val="5D637C85"/>
    <w:rsid w:val="5D680387"/>
    <w:rsid w:val="5D6D1BE9"/>
    <w:rsid w:val="5D6D5C66"/>
    <w:rsid w:val="5D7206A1"/>
    <w:rsid w:val="5D73499A"/>
    <w:rsid w:val="5D740B52"/>
    <w:rsid w:val="5D755F99"/>
    <w:rsid w:val="5D7656F6"/>
    <w:rsid w:val="5D78007C"/>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46A9C"/>
    <w:rsid w:val="5DB72169"/>
    <w:rsid w:val="5DB72195"/>
    <w:rsid w:val="5DB72CEA"/>
    <w:rsid w:val="5DB76529"/>
    <w:rsid w:val="5DBF0827"/>
    <w:rsid w:val="5DC0151D"/>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B3E15"/>
    <w:rsid w:val="5EBD530E"/>
    <w:rsid w:val="5EBF1167"/>
    <w:rsid w:val="5EC25F00"/>
    <w:rsid w:val="5EC31E07"/>
    <w:rsid w:val="5EC47E53"/>
    <w:rsid w:val="5EC50363"/>
    <w:rsid w:val="5EC5413A"/>
    <w:rsid w:val="5EC613C7"/>
    <w:rsid w:val="5EC700AE"/>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42582"/>
    <w:rsid w:val="5F3C6F75"/>
    <w:rsid w:val="5F403104"/>
    <w:rsid w:val="5F415D9D"/>
    <w:rsid w:val="5F423955"/>
    <w:rsid w:val="5F453FEF"/>
    <w:rsid w:val="5F4744F9"/>
    <w:rsid w:val="5F5111A7"/>
    <w:rsid w:val="5F513787"/>
    <w:rsid w:val="5F514A63"/>
    <w:rsid w:val="5F542C2D"/>
    <w:rsid w:val="5F5B4D0C"/>
    <w:rsid w:val="5F5D2245"/>
    <w:rsid w:val="5F5F4C16"/>
    <w:rsid w:val="5F634959"/>
    <w:rsid w:val="5F657EAE"/>
    <w:rsid w:val="5F6A0B5D"/>
    <w:rsid w:val="5F6C211E"/>
    <w:rsid w:val="5F721830"/>
    <w:rsid w:val="5F7536CD"/>
    <w:rsid w:val="5F7863BB"/>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948D4"/>
    <w:rsid w:val="5FAD53D3"/>
    <w:rsid w:val="5FB11875"/>
    <w:rsid w:val="5FB35250"/>
    <w:rsid w:val="5FB372F0"/>
    <w:rsid w:val="5FBD61BC"/>
    <w:rsid w:val="5FBF52D2"/>
    <w:rsid w:val="5FC017AD"/>
    <w:rsid w:val="5FC06AB4"/>
    <w:rsid w:val="5FC142EE"/>
    <w:rsid w:val="5FD724BD"/>
    <w:rsid w:val="5FD763E3"/>
    <w:rsid w:val="5FD7706A"/>
    <w:rsid w:val="5FDA46C8"/>
    <w:rsid w:val="5FDB4F3D"/>
    <w:rsid w:val="5FDC0ABD"/>
    <w:rsid w:val="5FDC6610"/>
    <w:rsid w:val="5FE10819"/>
    <w:rsid w:val="5FE30BA2"/>
    <w:rsid w:val="5FE6571C"/>
    <w:rsid w:val="5FED0719"/>
    <w:rsid w:val="5FEE08EC"/>
    <w:rsid w:val="5FEF04AA"/>
    <w:rsid w:val="5FF27FE4"/>
    <w:rsid w:val="5FF36493"/>
    <w:rsid w:val="5FF85070"/>
    <w:rsid w:val="5FF9333C"/>
    <w:rsid w:val="5FFB474F"/>
    <w:rsid w:val="5FFF3597"/>
    <w:rsid w:val="60004EFB"/>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042DA"/>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1134A"/>
    <w:rsid w:val="60565B3E"/>
    <w:rsid w:val="605E7523"/>
    <w:rsid w:val="605F164B"/>
    <w:rsid w:val="60682124"/>
    <w:rsid w:val="606A3E56"/>
    <w:rsid w:val="606B1CB6"/>
    <w:rsid w:val="60722D12"/>
    <w:rsid w:val="6073189D"/>
    <w:rsid w:val="60736A2F"/>
    <w:rsid w:val="607443D2"/>
    <w:rsid w:val="6075702F"/>
    <w:rsid w:val="60763370"/>
    <w:rsid w:val="60792BB0"/>
    <w:rsid w:val="607A48AD"/>
    <w:rsid w:val="607C7237"/>
    <w:rsid w:val="607C742A"/>
    <w:rsid w:val="607D0570"/>
    <w:rsid w:val="60801EB9"/>
    <w:rsid w:val="60836310"/>
    <w:rsid w:val="60884273"/>
    <w:rsid w:val="60886E7B"/>
    <w:rsid w:val="60894587"/>
    <w:rsid w:val="608A3E41"/>
    <w:rsid w:val="608B6649"/>
    <w:rsid w:val="60913BAC"/>
    <w:rsid w:val="609158FD"/>
    <w:rsid w:val="6094775D"/>
    <w:rsid w:val="609822C1"/>
    <w:rsid w:val="60990BD7"/>
    <w:rsid w:val="609D4C24"/>
    <w:rsid w:val="60A11B40"/>
    <w:rsid w:val="60A20F88"/>
    <w:rsid w:val="60A3504C"/>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643FF"/>
    <w:rsid w:val="615D7476"/>
    <w:rsid w:val="615F7EE9"/>
    <w:rsid w:val="61606319"/>
    <w:rsid w:val="61612929"/>
    <w:rsid w:val="61643743"/>
    <w:rsid w:val="616A5B5D"/>
    <w:rsid w:val="61725159"/>
    <w:rsid w:val="61731D66"/>
    <w:rsid w:val="61747347"/>
    <w:rsid w:val="61766F3C"/>
    <w:rsid w:val="617C37F4"/>
    <w:rsid w:val="617E6243"/>
    <w:rsid w:val="617F6860"/>
    <w:rsid w:val="61843430"/>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17B4"/>
    <w:rsid w:val="627D238E"/>
    <w:rsid w:val="6281149E"/>
    <w:rsid w:val="62814AC5"/>
    <w:rsid w:val="62824AF9"/>
    <w:rsid w:val="62832CA1"/>
    <w:rsid w:val="62850A93"/>
    <w:rsid w:val="628A77AC"/>
    <w:rsid w:val="62905A75"/>
    <w:rsid w:val="629236BE"/>
    <w:rsid w:val="6296199C"/>
    <w:rsid w:val="629668B6"/>
    <w:rsid w:val="62984204"/>
    <w:rsid w:val="62A07A27"/>
    <w:rsid w:val="62A46F9E"/>
    <w:rsid w:val="62A72DD4"/>
    <w:rsid w:val="62A87D09"/>
    <w:rsid w:val="62AC5F9D"/>
    <w:rsid w:val="62AF79A2"/>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92D"/>
    <w:rsid w:val="62F4274A"/>
    <w:rsid w:val="62F654CF"/>
    <w:rsid w:val="62F838A3"/>
    <w:rsid w:val="62FA3F93"/>
    <w:rsid w:val="62FF03F8"/>
    <w:rsid w:val="63074D4D"/>
    <w:rsid w:val="630E2EB5"/>
    <w:rsid w:val="631229E5"/>
    <w:rsid w:val="63133D38"/>
    <w:rsid w:val="63170965"/>
    <w:rsid w:val="631A6AB0"/>
    <w:rsid w:val="631B16C2"/>
    <w:rsid w:val="631B2C35"/>
    <w:rsid w:val="632153F1"/>
    <w:rsid w:val="63263F25"/>
    <w:rsid w:val="63265044"/>
    <w:rsid w:val="632B7C35"/>
    <w:rsid w:val="63314429"/>
    <w:rsid w:val="633157E8"/>
    <w:rsid w:val="633A0420"/>
    <w:rsid w:val="633A6B15"/>
    <w:rsid w:val="633B5504"/>
    <w:rsid w:val="633E468C"/>
    <w:rsid w:val="633F55D8"/>
    <w:rsid w:val="6341499B"/>
    <w:rsid w:val="63416F64"/>
    <w:rsid w:val="63430456"/>
    <w:rsid w:val="634325ED"/>
    <w:rsid w:val="634369A6"/>
    <w:rsid w:val="63443AEC"/>
    <w:rsid w:val="634802B3"/>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C16E5"/>
    <w:rsid w:val="638F22B7"/>
    <w:rsid w:val="639154D4"/>
    <w:rsid w:val="63925ECE"/>
    <w:rsid w:val="63933614"/>
    <w:rsid w:val="63991163"/>
    <w:rsid w:val="63993990"/>
    <w:rsid w:val="639A1276"/>
    <w:rsid w:val="639A34E0"/>
    <w:rsid w:val="639D6B08"/>
    <w:rsid w:val="63A56AFB"/>
    <w:rsid w:val="63A65D5A"/>
    <w:rsid w:val="63AB1FE1"/>
    <w:rsid w:val="63AC475F"/>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73DF"/>
    <w:rsid w:val="64193316"/>
    <w:rsid w:val="641E2F9B"/>
    <w:rsid w:val="641F6408"/>
    <w:rsid w:val="64202275"/>
    <w:rsid w:val="64231C35"/>
    <w:rsid w:val="64267B2C"/>
    <w:rsid w:val="642C2369"/>
    <w:rsid w:val="642E7DE4"/>
    <w:rsid w:val="6434465B"/>
    <w:rsid w:val="6435158C"/>
    <w:rsid w:val="64361A2B"/>
    <w:rsid w:val="643E73D7"/>
    <w:rsid w:val="643F2D0D"/>
    <w:rsid w:val="64477E7E"/>
    <w:rsid w:val="644C64F7"/>
    <w:rsid w:val="644D3DD1"/>
    <w:rsid w:val="644E7565"/>
    <w:rsid w:val="64532501"/>
    <w:rsid w:val="64573736"/>
    <w:rsid w:val="64595EAC"/>
    <w:rsid w:val="645F50BB"/>
    <w:rsid w:val="646266D4"/>
    <w:rsid w:val="64633E02"/>
    <w:rsid w:val="64644BD2"/>
    <w:rsid w:val="64655408"/>
    <w:rsid w:val="64666FE0"/>
    <w:rsid w:val="6468639C"/>
    <w:rsid w:val="646905B9"/>
    <w:rsid w:val="646A4255"/>
    <w:rsid w:val="64713B8F"/>
    <w:rsid w:val="647215F8"/>
    <w:rsid w:val="64742E70"/>
    <w:rsid w:val="64753628"/>
    <w:rsid w:val="64780C1F"/>
    <w:rsid w:val="647B62E5"/>
    <w:rsid w:val="647C4DDA"/>
    <w:rsid w:val="647F7F95"/>
    <w:rsid w:val="648230FE"/>
    <w:rsid w:val="64844B8F"/>
    <w:rsid w:val="6485021D"/>
    <w:rsid w:val="64880EB3"/>
    <w:rsid w:val="64897D48"/>
    <w:rsid w:val="648B5C8D"/>
    <w:rsid w:val="648C64ED"/>
    <w:rsid w:val="649040B2"/>
    <w:rsid w:val="6490534C"/>
    <w:rsid w:val="64932164"/>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3A7CE0"/>
    <w:rsid w:val="653C1600"/>
    <w:rsid w:val="653F2910"/>
    <w:rsid w:val="653F3F4B"/>
    <w:rsid w:val="654234E3"/>
    <w:rsid w:val="65442614"/>
    <w:rsid w:val="65483234"/>
    <w:rsid w:val="65496ABD"/>
    <w:rsid w:val="654C1758"/>
    <w:rsid w:val="65533342"/>
    <w:rsid w:val="655A3450"/>
    <w:rsid w:val="655B2CF8"/>
    <w:rsid w:val="655E4E68"/>
    <w:rsid w:val="655E5BA3"/>
    <w:rsid w:val="655E67CA"/>
    <w:rsid w:val="656503D7"/>
    <w:rsid w:val="6568546B"/>
    <w:rsid w:val="656A73CE"/>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24992"/>
    <w:rsid w:val="65B33EE8"/>
    <w:rsid w:val="65B63190"/>
    <w:rsid w:val="65B84F32"/>
    <w:rsid w:val="65B93817"/>
    <w:rsid w:val="65BA1198"/>
    <w:rsid w:val="65BC64AA"/>
    <w:rsid w:val="65C46833"/>
    <w:rsid w:val="65CB0D03"/>
    <w:rsid w:val="65CD38C5"/>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97AFD"/>
    <w:rsid w:val="666E74C1"/>
    <w:rsid w:val="667357CC"/>
    <w:rsid w:val="66785614"/>
    <w:rsid w:val="667A263F"/>
    <w:rsid w:val="66802FE7"/>
    <w:rsid w:val="66812D23"/>
    <w:rsid w:val="66850920"/>
    <w:rsid w:val="6685512A"/>
    <w:rsid w:val="66901370"/>
    <w:rsid w:val="66944F0F"/>
    <w:rsid w:val="66956BCA"/>
    <w:rsid w:val="669612E0"/>
    <w:rsid w:val="669A164D"/>
    <w:rsid w:val="669A357F"/>
    <w:rsid w:val="66A063A0"/>
    <w:rsid w:val="66A31556"/>
    <w:rsid w:val="66A6654D"/>
    <w:rsid w:val="66AA0B0A"/>
    <w:rsid w:val="66AB4650"/>
    <w:rsid w:val="66AD7E00"/>
    <w:rsid w:val="66AE0E29"/>
    <w:rsid w:val="66AF5BE1"/>
    <w:rsid w:val="66B40759"/>
    <w:rsid w:val="66B711AC"/>
    <w:rsid w:val="66B83217"/>
    <w:rsid w:val="66B879B4"/>
    <w:rsid w:val="66BB6588"/>
    <w:rsid w:val="66C16711"/>
    <w:rsid w:val="66C26246"/>
    <w:rsid w:val="66C375BF"/>
    <w:rsid w:val="66C41A17"/>
    <w:rsid w:val="66C4254D"/>
    <w:rsid w:val="66C7149A"/>
    <w:rsid w:val="66C9321B"/>
    <w:rsid w:val="66CB6297"/>
    <w:rsid w:val="66CC4487"/>
    <w:rsid w:val="66CE5C26"/>
    <w:rsid w:val="66CF4B91"/>
    <w:rsid w:val="66D40FE2"/>
    <w:rsid w:val="66D57F1E"/>
    <w:rsid w:val="66D61628"/>
    <w:rsid w:val="66DC793C"/>
    <w:rsid w:val="66DC7B4A"/>
    <w:rsid w:val="66DD09EC"/>
    <w:rsid w:val="66DF46C2"/>
    <w:rsid w:val="66E32819"/>
    <w:rsid w:val="66E40E13"/>
    <w:rsid w:val="66E41E0B"/>
    <w:rsid w:val="66E56DA1"/>
    <w:rsid w:val="66E8129F"/>
    <w:rsid w:val="66E85249"/>
    <w:rsid w:val="66EB12C4"/>
    <w:rsid w:val="66F14286"/>
    <w:rsid w:val="66F43AE9"/>
    <w:rsid w:val="66F530DA"/>
    <w:rsid w:val="66FD3BFA"/>
    <w:rsid w:val="66FF75FB"/>
    <w:rsid w:val="67044211"/>
    <w:rsid w:val="67046F82"/>
    <w:rsid w:val="6707649E"/>
    <w:rsid w:val="67097AAA"/>
    <w:rsid w:val="670D1B71"/>
    <w:rsid w:val="67100251"/>
    <w:rsid w:val="671553CC"/>
    <w:rsid w:val="67185503"/>
    <w:rsid w:val="671A0DE7"/>
    <w:rsid w:val="671D4475"/>
    <w:rsid w:val="672149C6"/>
    <w:rsid w:val="67281EC7"/>
    <w:rsid w:val="672920F2"/>
    <w:rsid w:val="672A0608"/>
    <w:rsid w:val="672D7681"/>
    <w:rsid w:val="6730372A"/>
    <w:rsid w:val="67344028"/>
    <w:rsid w:val="67392A66"/>
    <w:rsid w:val="67424DF4"/>
    <w:rsid w:val="6743130C"/>
    <w:rsid w:val="674905AC"/>
    <w:rsid w:val="67496F8C"/>
    <w:rsid w:val="675327AE"/>
    <w:rsid w:val="6754488A"/>
    <w:rsid w:val="67556196"/>
    <w:rsid w:val="675B6AEC"/>
    <w:rsid w:val="675E4ECE"/>
    <w:rsid w:val="675E5A16"/>
    <w:rsid w:val="676033FD"/>
    <w:rsid w:val="6761197D"/>
    <w:rsid w:val="67625141"/>
    <w:rsid w:val="67636AE2"/>
    <w:rsid w:val="6765444E"/>
    <w:rsid w:val="67657457"/>
    <w:rsid w:val="676606E3"/>
    <w:rsid w:val="67667AB4"/>
    <w:rsid w:val="676809F0"/>
    <w:rsid w:val="67686498"/>
    <w:rsid w:val="676921E4"/>
    <w:rsid w:val="676947A2"/>
    <w:rsid w:val="676A3201"/>
    <w:rsid w:val="676C76E3"/>
    <w:rsid w:val="676E0B56"/>
    <w:rsid w:val="676E1DA6"/>
    <w:rsid w:val="676F3DA1"/>
    <w:rsid w:val="67703309"/>
    <w:rsid w:val="6770670C"/>
    <w:rsid w:val="67727576"/>
    <w:rsid w:val="67756782"/>
    <w:rsid w:val="677C799E"/>
    <w:rsid w:val="67827DF9"/>
    <w:rsid w:val="67834F83"/>
    <w:rsid w:val="678463EC"/>
    <w:rsid w:val="6787737A"/>
    <w:rsid w:val="678B243A"/>
    <w:rsid w:val="67906049"/>
    <w:rsid w:val="67997FFC"/>
    <w:rsid w:val="679B4BE7"/>
    <w:rsid w:val="67B0143C"/>
    <w:rsid w:val="67B101FC"/>
    <w:rsid w:val="67B12426"/>
    <w:rsid w:val="67B270D1"/>
    <w:rsid w:val="67B33DF3"/>
    <w:rsid w:val="67BC09BE"/>
    <w:rsid w:val="67BC3207"/>
    <w:rsid w:val="67BD009C"/>
    <w:rsid w:val="67BD0AFF"/>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D6633"/>
    <w:rsid w:val="67EE586A"/>
    <w:rsid w:val="67F42D8A"/>
    <w:rsid w:val="67F52485"/>
    <w:rsid w:val="67F55A05"/>
    <w:rsid w:val="67FB0F97"/>
    <w:rsid w:val="67FB628E"/>
    <w:rsid w:val="67FC4BC9"/>
    <w:rsid w:val="68000F12"/>
    <w:rsid w:val="68012262"/>
    <w:rsid w:val="68065D52"/>
    <w:rsid w:val="68075D9C"/>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007D6"/>
    <w:rsid w:val="68303268"/>
    <w:rsid w:val="683770B8"/>
    <w:rsid w:val="683957D8"/>
    <w:rsid w:val="683965C1"/>
    <w:rsid w:val="683B5DF7"/>
    <w:rsid w:val="683C53DC"/>
    <w:rsid w:val="683E2A58"/>
    <w:rsid w:val="683E36C2"/>
    <w:rsid w:val="68430152"/>
    <w:rsid w:val="6845509D"/>
    <w:rsid w:val="68455B9B"/>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F4CC7"/>
    <w:rsid w:val="68A01296"/>
    <w:rsid w:val="68A41E22"/>
    <w:rsid w:val="68A97007"/>
    <w:rsid w:val="68AE2BE9"/>
    <w:rsid w:val="68B14444"/>
    <w:rsid w:val="68B229A4"/>
    <w:rsid w:val="68B478A9"/>
    <w:rsid w:val="68BA6A04"/>
    <w:rsid w:val="68BC201A"/>
    <w:rsid w:val="68C6004A"/>
    <w:rsid w:val="68C63110"/>
    <w:rsid w:val="68CC7550"/>
    <w:rsid w:val="68CD056A"/>
    <w:rsid w:val="68CD410D"/>
    <w:rsid w:val="68D324D8"/>
    <w:rsid w:val="68D34ACC"/>
    <w:rsid w:val="68D6143F"/>
    <w:rsid w:val="68D75D51"/>
    <w:rsid w:val="68DB022E"/>
    <w:rsid w:val="68DD4402"/>
    <w:rsid w:val="68E1040E"/>
    <w:rsid w:val="68E21FF5"/>
    <w:rsid w:val="68E269FC"/>
    <w:rsid w:val="68E360A4"/>
    <w:rsid w:val="68E43CE8"/>
    <w:rsid w:val="68E54A07"/>
    <w:rsid w:val="68E600E0"/>
    <w:rsid w:val="68E70C6D"/>
    <w:rsid w:val="68E71836"/>
    <w:rsid w:val="68EA7CB9"/>
    <w:rsid w:val="68F01EB8"/>
    <w:rsid w:val="68F3092C"/>
    <w:rsid w:val="68F76E9E"/>
    <w:rsid w:val="68F91985"/>
    <w:rsid w:val="68FB1295"/>
    <w:rsid w:val="69024C87"/>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365D8"/>
    <w:rsid w:val="69261439"/>
    <w:rsid w:val="69286342"/>
    <w:rsid w:val="69291483"/>
    <w:rsid w:val="692E62F6"/>
    <w:rsid w:val="69327460"/>
    <w:rsid w:val="69337B4A"/>
    <w:rsid w:val="693A0AAA"/>
    <w:rsid w:val="693A7B08"/>
    <w:rsid w:val="693C4AC3"/>
    <w:rsid w:val="693F5E7E"/>
    <w:rsid w:val="694101FB"/>
    <w:rsid w:val="69426864"/>
    <w:rsid w:val="69442DC6"/>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C2115"/>
    <w:rsid w:val="699D3B8F"/>
    <w:rsid w:val="69A15775"/>
    <w:rsid w:val="69A36FC5"/>
    <w:rsid w:val="69AB6055"/>
    <w:rsid w:val="69AB6972"/>
    <w:rsid w:val="69B25CE5"/>
    <w:rsid w:val="69B649A4"/>
    <w:rsid w:val="69B72837"/>
    <w:rsid w:val="69C026AD"/>
    <w:rsid w:val="69C15A5B"/>
    <w:rsid w:val="69C40C44"/>
    <w:rsid w:val="69C4366B"/>
    <w:rsid w:val="69CD0DFA"/>
    <w:rsid w:val="69D07C33"/>
    <w:rsid w:val="69D24B9B"/>
    <w:rsid w:val="69D5474D"/>
    <w:rsid w:val="69D64B50"/>
    <w:rsid w:val="69D87485"/>
    <w:rsid w:val="69D91D9E"/>
    <w:rsid w:val="69D9615A"/>
    <w:rsid w:val="69DA312F"/>
    <w:rsid w:val="69DB1C7B"/>
    <w:rsid w:val="69DB51C3"/>
    <w:rsid w:val="69DF1A84"/>
    <w:rsid w:val="69E74BA2"/>
    <w:rsid w:val="69E96D68"/>
    <w:rsid w:val="69EE1071"/>
    <w:rsid w:val="69F2148A"/>
    <w:rsid w:val="69F86274"/>
    <w:rsid w:val="69F93223"/>
    <w:rsid w:val="69FF1B34"/>
    <w:rsid w:val="6A0B37DB"/>
    <w:rsid w:val="6A11122C"/>
    <w:rsid w:val="6A145E00"/>
    <w:rsid w:val="6A177B05"/>
    <w:rsid w:val="6A193D7A"/>
    <w:rsid w:val="6A1C022B"/>
    <w:rsid w:val="6A203B95"/>
    <w:rsid w:val="6A221A16"/>
    <w:rsid w:val="6A257487"/>
    <w:rsid w:val="6A276108"/>
    <w:rsid w:val="6A292BE4"/>
    <w:rsid w:val="6A2A4ADC"/>
    <w:rsid w:val="6A2A5F02"/>
    <w:rsid w:val="6A2A61CB"/>
    <w:rsid w:val="6A2F3F03"/>
    <w:rsid w:val="6A304FBD"/>
    <w:rsid w:val="6A3465B9"/>
    <w:rsid w:val="6A3671C9"/>
    <w:rsid w:val="6A3832AF"/>
    <w:rsid w:val="6A392C51"/>
    <w:rsid w:val="6A3A6116"/>
    <w:rsid w:val="6A3F42F3"/>
    <w:rsid w:val="6A404E3D"/>
    <w:rsid w:val="6A4574D8"/>
    <w:rsid w:val="6A605140"/>
    <w:rsid w:val="6A647D38"/>
    <w:rsid w:val="6A657204"/>
    <w:rsid w:val="6A664B2D"/>
    <w:rsid w:val="6A6D2193"/>
    <w:rsid w:val="6A6F2B33"/>
    <w:rsid w:val="6A7168C3"/>
    <w:rsid w:val="6A71737A"/>
    <w:rsid w:val="6A773B5E"/>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C158E"/>
    <w:rsid w:val="6AA20740"/>
    <w:rsid w:val="6AAA6A5D"/>
    <w:rsid w:val="6AAD12D9"/>
    <w:rsid w:val="6AAF1E25"/>
    <w:rsid w:val="6AB602C2"/>
    <w:rsid w:val="6AB80EB0"/>
    <w:rsid w:val="6AB943EE"/>
    <w:rsid w:val="6AC032BC"/>
    <w:rsid w:val="6AC3598A"/>
    <w:rsid w:val="6AC432CA"/>
    <w:rsid w:val="6AC6079B"/>
    <w:rsid w:val="6AC66B2B"/>
    <w:rsid w:val="6AC72591"/>
    <w:rsid w:val="6AC8092A"/>
    <w:rsid w:val="6ACF0D8D"/>
    <w:rsid w:val="6ACF2081"/>
    <w:rsid w:val="6ACF2150"/>
    <w:rsid w:val="6AD06A6E"/>
    <w:rsid w:val="6AD159F7"/>
    <w:rsid w:val="6AD205CA"/>
    <w:rsid w:val="6AD327DD"/>
    <w:rsid w:val="6AD61295"/>
    <w:rsid w:val="6AD62FDB"/>
    <w:rsid w:val="6AE1028F"/>
    <w:rsid w:val="6AE4767B"/>
    <w:rsid w:val="6AE64F06"/>
    <w:rsid w:val="6AEA4EC7"/>
    <w:rsid w:val="6AED0011"/>
    <w:rsid w:val="6AF10D33"/>
    <w:rsid w:val="6AF41EEA"/>
    <w:rsid w:val="6AF616E5"/>
    <w:rsid w:val="6AF67A6A"/>
    <w:rsid w:val="6AF84026"/>
    <w:rsid w:val="6AFB07C6"/>
    <w:rsid w:val="6AFE38E3"/>
    <w:rsid w:val="6B024E67"/>
    <w:rsid w:val="6B067BA7"/>
    <w:rsid w:val="6B0700FD"/>
    <w:rsid w:val="6B0A299B"/>
    <w:rsid w:val="6B0C3251"/>
    <w:rsid w:val="6B0D7E95"/>
    <w:rsid w:val="6B175D0D"/>
    <w:rsid w:val="6B192F03"/>
    <w:rsid w:val="6B241E45"/>
    <w:rsid w:val="6B24362E"/>
    <w:rsid w:val="6B2647A5"/>
    <w:rsid w:val="6B264FB0"/>
    <w:rsid w:val="6B2A4845"/>
    <w:rsid w:val="6B363002"/>
    <w:rsid w:val="6B396BD6"/>
    <w:rsid w:val="6B3C626D"/>
    <w:rsid w:val="6B3E29D6"/>
    <w:rsid w:val="6B434E08"/>
    <w:rsid w:val="6B442C48"/>
    <w:rsid w:val="6B463928"/>
    <w:rsid w:val="6B4724E0"/>
    <w:rsid w:val="6B480BCD"/>
    <w:rsid w:val="6B484B34"/>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7463D"/>
    <w:rsid w:val="6BB965E8"/>
    <w:rsid w:val="6BBA66B5"/>
    <w:rsid w:val="6BBC563B"/>
    <w:rsid w:val="6BBE196F"/>
    <w:rsid w:val="6BC31271"/>
    <w:rsid w:val="6BC34CA3"/>
    <w:rsid w:val="6BDE7A16"/>
    <w:rsid w:val="6BE0639E"/>
    <w:rsid w:val="6BE16DC9"/>
    <w:rsid w:val="6BE444FA"/>
    <w:rsid w:val="6BE86B58"/>
    <w:rsid w:val="6BEC66EE"/>
    <w:rsid w:val="6BF07EAA"/>
    <w:rsid w:val="6BF14A0C"/>
    <w:rsid w:val="6BF20FB8"/>
    <w:rsid w:val="6BF24619"/>
    <w:rsid w:val="6BF24AF7"/>
    <w:rsid w:val="6BF85D43"/>
    <w:rsid w:val="6BFE4BB6"/>
    <w:rsid w:val="6C0045B3"/>
    <w:rsid w:val="6C042D16"/>
    <w:rsid w:val="6C0453FF"/>
    <w:rsid w:val="6C04547D"/>
    <w:rsid w:val="6C0537C8"/>
    <w:rsid w:val="6C084114"/>
    <w:rsid w:val="6C093B94"/>
    <w:rsid w:val="6C0F41E1"/>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B6D30"/>
    <w:rsid w:val="6C517C60"/>
    <w:rsid w:val="6C53620C"/>
    <w:rsid w:val="6C5405E0"/>
    <w:rsid w:val="6C550E62"/>
    <w:rsid w:val="6C556AE6"/>
    <w:rsid w:val="6C57453E"/>
    <w:rsid w:val="6C595BFA"/>
    <w:rsid w:val="6C5A687B"/>
    <w:rsid w:val="6C606D35"/>
    <w:rsid w:val="6C644454"/>
    <w:rsid w:val="6C651AA6"/>
    <w:rsid w:val="6C662762"/>
    <w:rsid w:val="6C6649B7"/>
    <w:rsid w:val="6C737A47"/>
    <w:rsid w:val="6C7E492F"/>
    <w:rsid w:val="6C814DA2"/>
    <w:rsid w:val="6C854DD4"/>
    <w:rsid w:val="6C8846F8"/>
    <w:rsid w:val="6C88786E"/>
    <w:rsid w:val="6C8C360E"/>
    <w:rsid w:val="6C916601"/>
    <w:rsid w:val="6C930994"/>
    <w:rsid w:val="6C974442"/>
    <w:rsid w:val="6C9827C3"/>
    <w:rsid w:val="6C9D6C0C"/>
    <w:rsid w:val="6C9F1981"/>
    <w:rsid w:val="6C9F6E83"/>
    <w:rsid w:val="6CA40FE5"/>
    <w:rsid w:val="6CA900DD"/>
    <w:rsid w:val="6CA97B8B"/>
    <w:rsid w:val="6CAA4EDC"/>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70D9B"/>
    <w:rsid w:val="6CC9612D"/>
    <w:rsid w:val="6CCC52CD"/>
    <w:rsid w:val="6CCF0E03"/>
    <w:rsid w:val="6CD65BF0"/>
    <w:rsid w:val="6CD7762F"/>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543B5"/>
    <w:rsid w:val="6CF70AA0"/>
    <w:rsid w:val="6CF86A65"/>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F77B2"/>
    <w:rsid w:val="6DA22A3B"/>
    <w:rsid w:val="6DA815FD"/>
    <w:rsid w:val="6DB43CBF"/>
    <w:rsid w:val="6DB65267"/>
    <w:rsid w:val="6DB845F8"/>
    <w:rsid w:val="6DBA2144"/>
    <w:rsid w:val="6DBE7C28"/>
    <w:rsid w:val="6DC06C3B"/>
    <w:rsid w:val="6DC24B1B"/>
    <w:rsid w:val="6DC616C6"/>
    <w:rsid w:val="6DC822B5"/>
    <w:rsid w:val="6DC869CE"/>
    <w:rsid w:val="6DCA662C"/>
    <w:rsid w:val="6DCB0323"/>
    <w:rsid w:val="6DCF2EC8"/>
    <w:rsid w:val="6DD06258"/>
    <w:rsid w:val="6DD14EEB"/>
    <w:rsid w:val="6DD20493"/>
    <w:rsid w:val="6DD54A74"/>
    <w:rsid w:val="6DDA10DC"/>
    <w:rsid w:val="6DDB452C"/>
    <w:rsid w:val="6DDF0934"/>
    <w:rsid w:val="6DE140AB"/>
    <w:rsid w:val="6DE1781C"/>
    <w:rsid w:val="6DE512BE"/>
    <w:rsid w:val="6DEA6AB1"/>
    <w:rsid w:val="6DF522CD"/>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A4406"/>
    <w:rsid w:val="6E4D0909"/>
    <w:rsid w:val="6E4F73BE"/>
    <w:rsid w:val="6E51683A"/>
    <w:rsid w:val="6E56438B"/>
    <w:rsid w:val="6E566306"/>
    <w:rsid w:val="6E5A4474"/>
    <w:rsid w:val="6E5E77EE"/>
    <w:rsid w:val="6E60101C"/>
    <w:rsid w:val="6E691B5F"/>
    <w:rsid w:val="6E69641A"/>
    <w:rsid w:val="6E6B1B2A"/>
    <w:rsid w:val="6E6C3079"/>
    <w:rsid w:val="6E6D7B97"/>
    <w:rsid w:val="6E6E2208"/>
    <w:rsid w:val="6E74290C"/>
    <w:rsid w:val="6E7504B7"/>
    <w:rsid w:val="6E775AB1"/>
    <w:rsid w:val="6E7B4978"/>
    <w:rsid w:val="6E7C180A"/>
    <w:rsid w:val="6E7C69B8"/>
    <w:rsid w:val="6E8677E9"/>
    <w:rsid w:val="6E871FD2"/>
    <w:rsid w:val="6E873331"/>
    <w:rsid w:val="6E8A4F6A"/>
    <w:rsid w:val="6E8A6695"/>
    <w:rsid w:val="6E8C3338"/>
    <w:rsid w:val="6E8F301E"/>
    <w:rsid w:val="6E8F6DAA"/>
    <w:rsid w:val="6E9060BF"/>
    <w:rsid w:val="6E946F0E"/>
    <w:rsid w:val="6E967C62"/>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CF6DE6"/>
    <w:rsid w:val="6ED21CA2"/>
    <w:rsid w:val="6ED4349A"/>
    <w:rsid w:val="6ED47DB7"/>
    <w:rsid w:val="6ED62EAE"/>
    <w:rsid w:val="6ED6468A"/>
    <w:rsid w:val="6ED6762F"/>
    <w:rsid w:val="6EDA6752"/>
    <w:rsid w:val="6EDD21B2"/>
    <w:rsid w:val="6EDD39E6"/>
    <w:rsid w:val="6EE22762"/>
    <w:rsid w:val="6EE5235C"/>
    <w:rsid w:val="6EE649B1"/>
    <w:rsid w:val="6EEB5DEB"/>
    <w:rsid w:val="6EEC2D0F"/>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1F003D"/>
    <w:rsid w:val="6F2246AE"/>
    <w:rsid w:val="6F2E08DA"/>
    <w:rsid w:val="6F317B98"/>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6178C"/>
    <w:rsid w:val="6F6728D3"/>
    <w:rsid w:val="6F674DD4"/>
    <w:rsid w:val="6F6D40E6"/>
    <w:rsid w:val="6F6F70EB"/>
    <w:rsid w:val="6F707136"/>
    <w:rsid w:val="6F737123"/>
    <w:rsid w:val="6F7526E7"/>
    <w:rsid w:val="6F755174"/>
    <w:rsid w:val="6F790E2F"/>
    <w:rsid w:val="6F7C656C"/>
    <w:rsid w:val="6F7C7410"/>
    <w:rsid w:val="6F7E39F5"/>
    <w:rsid w:val="6F7F552C"/>
    <w:rsid w:val="6F812543"/>
    <w:rsid w:val="6F9305E3"/>
    <w:rsid w:val="6F936F54"/>
    <w:rsid w:val="6F941FB9"/>
    <w:rsid w:val="6F971808"/>
    <w:rsid w:val="6F9A0699"/>
    <w:rsid w:val="6F9A7B32"/>
    <w:rsid w:val="6F9D3971"/>
    <w:rsid w:val="6FA243C5"/>
    <w:rsid w:val="6FA744AF"/>
    <w:rsid w:val="6FA815B5"/>
    <w:rsid w:val="6FAD41E5"/>
    <w:rsid w:val="6FBA7AB0"/>
    <w:rsid w:val="6FBC4B72"/>
    <w:rsid w:val="6FC10DD5"/>
    <w:rsid w:val="6FCA0E5B"/>
    <w:rsid w:val="6FCC2952"/>
    <w:rsid w:val="6FCD42BD"/>
    <w:rsid w:val="6FD25F63"/>
    <w:rsid w:val="6FD44CA7"/>
    <w:rsid w:val="6FD97593"/>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A4AF6"/>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D7981"/>
    <w:rsid w:val="70C14F6B"/>
    <w:rsid w:val="70C16194"/>
    <w:rsid w:val="70C17302"/>
    <w:rsid w:val="70CD0CF0"/>
    <w:rsid w:val="70CD1E07"/>
    <w:rsid w:val="70CD7510"/>
    <w:rsid w:val="70D14524"/>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C4E52"/>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8016B"/>
    <w:rsid w:val="714A084D"/>
    <w:rsid w:val="714A18E0"/>
    <w:rsid w:val="714B217D"/>
    <w:rsid w:val="714D03E7"/>
    <w:rsid w:val="714D28A3"/>
    <w:rsid w:val="714D78D3"/>
    <w:rsid w:val="71503CE7"/>
    <w:rsid w:val="715352E7"/>
    <w:rsid w:val="71536C22"/>
    <w:rsid w:val="7153723D"/>
    <w:rsid w:val="71565886"/>
    <w:rsid w:val="71567F32"/>
    <w:rsid w:val="715A2207"/>
    <w:rsid w:val="715E00B3"/>
    <w:rsid w:val="716047D0"/>
    <w:rsid w:val="71615267"/>
    <w:rsid w:val="716242AB"/>
    <w:rsid w:val="716453D4"/>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5F35"/>
    <w:rsid w:val="71D27954"/>
    <w:rsid w:val="71D32518"/>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E66B7"/>
    <w:rsid w:val="720F3321"/>
    <w:rsid w:val="720F78E3"/>
    <w:rsid w:val="7210169A"/>
    <w:rsid w:val="72101AF4"/>
    <w:rsid w:val="72116C3F"/>
    <w:rsid w:val="72186FA4"/>
    <w:rsid w:val="721A5077"/>
    <w:rsid w:val="721F2961"/>
    <w:rsid w:val="72246871"/>
    <w:rsid w:val="7225026E"/>
    <w:rsid w:val="722850DD"/>
    <w:rsid w:val="7229131A"/>
    <w:rsid w:val="722B6D3C"/>
    <w:rsid w:val="722E3484"/>
    <w:rsid w:val="72306D39"/>
    <w:rsid w:val="723128A9"/>
    <w:rsid w:val="723B06B1"/>
    <w:rsid w:val="723B0B95"/>
    <w:rsid w:val="723B52B8"/>
    <w:rsid w:val="72440F1E"/>
    <w:rsid w:val="724A4324"/>
    <w:rsid w:val="72522723"/>
    <w:rsid w:val="725340BD"/>
    <w:rsid w:val="72542A36"/>
    <w:rsid w:val="72555383"/>
    <w:rsid w:val="725676AC"/>
    <w:rsid w:val="725D1C13"/>
    <w:rsid w:val="72603ACC"/>
    <w:rsid w:val="726048F1"/>
    <w:rsid w:val="7264705B"/>
    <w:rsid w:val="726843AE"/>
    <w:rsid w:val="726B5B23"/>
    <w:rsid w:val="72854082"/>
    <w:rsid w:val="72870B0F"/>
    <w:rsid w:val="72880592"/>
    <w:rsid w:val="728D2090"/>
    <w:rsid w:val="728E04A0"/>
    <w:rsid w:val="72930D42"/>
    <w:rsid w:val="72A0631D"/>
    <w:rsid w:val="72A06AC1"/>
    <w:rsid w:val="72A3221E"/>
    <w:rsid w:val="72A362B4"/>
    <w:rsid w:val="72A50C70"/>
    <w:rsid w:val="72A74552"/>
    <w:rsid w:val="72A86C15"/>
    <w:rsid w:val="72AB54A5"/>
    <w:rsid w:val="72AC0588"/>
    <w:rsid w:val="72AE439C"/>
    <w:rsid w:val="72AF0B61"/>
    <w:rsid w:val="72B85A81"/>
    <w:rsid w:val="72BA03E7"/>
    <w:rsid w:val="72BA15DE"/>
    <w:rsid w:val="72BC4382"/>
    <w:rsid w:val="72BD4C62"/>
    <w:rsid w:val="72BD6F4F"/>
    <w:rsid w:val="72BE373C"/>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77281"/>
    <w:rsid w:val="730B0185"/>
    <w:rsid w:val="730B2912"/>
    <w:rsid w:val="730C0128"/>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D61D6"/>
    <w:rsid w:val="733E3498"/>
    <w:rsid w:val="733E5133"/>
    <w:rsid w:val="73454669"/>
    <w:rsid w:val="73470963"/>
    <w:rsid w:val="73494045"/>
    <w:rsid w:val="734B783B"/>
    <w:rsid w:val="734D3E6B"/>
    <w:rsid w:val="73505044"/>
    <w:rsid w:val="73551895"/>
    <w:rsid w:val="735953F7"/>
    <w:rsid w:val="735B3D78"/>
    <w:rsid w:val="735C5CA6"/>
    <w:rsid w:val="735F34D3"/>
    <w:rsid w:val="73624418"/>
    <w:rsid w:val="73634D24"/>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43A53"/>
    <w:rsid w:val="73A649F0"/>
    <w:rsid w:val="73A760F2"/>
    <w:rsid w:val="73AC5D10"/>
    <w:rsid w:val="73AD6947"/>
    <w:rsid w:val="73B8722C"/>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B7A15"/>
    <w:rsid w:val="73F46CCC"/>
    <w:rsid w:val="73F95139"/>
    <w:rsid w:val="73F97199"/>
    <w:rsid w:val="73FA0DAA"/>
    <w:rsid w:val="73FB34BE"/>
    <w:rsid w:val="73FF104A"/>
    <w:rsid w:val="740559D0"/>
    <w:rsid w:val="74084055"/>
    <w:rsid w:val="740907E7"/>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4137"/>
    <w:rsid w:val="746A50E5"/>
    <w:rsid w:val="746D577E"/>
    <w:rsid w:val="746E1854"/>
    <w:rsid w:val="746F51E0"/>
    <w:rsid w:val="74703DFE"/>
    <w:rsid w:val="747125D9"/>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57A0A"/>
    <w:rsid w:val="74992890"/>
    <w:rsid w:val="749C551A"/>
    <w:rsid w:val="749E3BB4"/>
    <w:rsid w:val="74A01F2F"/>
    <w:rsid w:val="74A43647"/>
    <w:rsid w:val="74A83DF8"/>
    <w:rsid w:val="74A85617"/>
    <w:rsid w:val="74AB1458"/>
    <w:rsid w:val="74AF19B2"/>
    <w:rsid w:val="74B17E43"/>
    <w:rsid w:val="74B33364"/>
    <w:rsid w:val="74B66B6D"/>
    <w:rsid w:val="74B81999"/>
    <w:rsid w:val="74BC376B"/>
    <w:rsid w:val="74BC3D40"/>
    <w:rsid w:val="74BD448C"/>
    <w:rsid w:val="74BD4F08"/>
    <w:rsid w:val="74BE4A53"/>
    <w:rsid w:val="74C440A9"/>
    <w:rsid w:val="74C555D9"/>
    <w:rsid w:val="74CA6EF9"/>
    <w:rsid w:val="74CB4839"/>
    <w:rsid w:val="74CC2AFC"/>
    <w:rsid w:val="74D03534"/>
    <w:rsid w:val="74D9633B"/>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4FF1EF9"/>
    <w:rsid w:val="75011CF2"/>
    <w:rsid w:val="7502115E"/>
    <w:rsid w:val="750300B9"/>
    <w:rsid w:val="750842CC"/>
    <w:rsid w:val="750F4E7A"/>
    <w:rsid w:val="75163100"/>
    <w:rsid w:val="75181445"/>
    <w:rsid w:val="751A36F4"/>
    <w:rsid w:val="751C7D45"/>
    <w:rsid w:val="75231A88"/>
    <w:rsid w:val="752546B5"/>
    <w:rsid w:val="752C3826"/>
    <w:rsid w:val="752F371C"/>
    <w:rsid w:val="7531594A"/>
    <w:rsid w:val="753657D5"/>
    <w:rsid w:val="753A4DD0"/>
    <w:rsid w:val="753D607A"/>
    <w:rsid w:val="753E2B84"/>
    <w:rsid w:val="75406B1F"/>
    <w:rsid w:val="7542280E"/>
    <w:rsid w:val="75427FDF"/>
    <w:rsid w:val="7545531A"/>
    <w:rsid w:val="75470EE6"/>
    <w:rsid w:val="754C552D"/>
    <w:rsid w:val="754C589C"/>
    <w:rsid w:val="754E5C0E"/>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15BD"/>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81013"/>
    <w:rsid w:val="75B921DA"/>
    <w:rsid w:val="75B933FE"/>
    <w:rsid w:val="75B96690"/>
    <w:rsid w:val="75B977C5"/>
    <w:rsid w:val="75BE3B96"/>
    <w:rsid w:val="75BF2B77"/>
    <w:rsid w:val="75C5102B"/>
    <w:rsid w:val="75CA76E4"/>
    <w:rsid w:val="75CD25B0"/>
    <w:rsid w:val="75D0034E"/>
    <w:rsid w:val="75D0763F"/>
    <w:rsid w:val="75D30E54"/>
    <w:rsid w:val="75D51336"/>
    <w:rsid w:val="75D71109"/>
    <w:rsid w:val="75DB5530"/>
    <w:rsid w:val="75E007CE"/>
    <w:rsid w:val="75E376A3"/>
    <w:rsid w:val="75E82B30"/>
    <w:rsid w:val="75EC78C2"/>
    <w:rsid w:val="75ED5A36"/>
    <w:rsid w:val="75F03BF2"/>
    <w:rsid w:val="75FB7495"/>
    <w:rsid w:val="75FC7D3B"/>
    <w:rsid w:val="75FD5147"/>
    <w:rsid w:val="75FE31D9"/>
    <w:rsid w:val="75FE6C18"/>
    <w:rsid w:val="75FF0133"/>
    <w:rsid w:val="760231B5"/>
    <w:rsid w:val="760332F4"/>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22CE8"/>
    <w:rsid w:val="76391262"/>
    <w:rsid w:val="763B0284"/>
    <w:rsid w:val="763B10BB"/>
    <w:rsid w:val="76404651"/>
    <w:rsid w:val="7642391D"/>
    <w:rsid w:val="76475B71"/>
    <w:rsid w:val="764833C3"/>
    <w:rsid w:val="764B7C87"/>
    <w:rsid w:val="764C0EC8"/>
    <w:rsid w:val="764C3812"/>
    <w:rsid w:val="764D6961"/>
    <w:rsid w:val="764E4A48"/>
    <w:rsid w:val="7650294C"/>
    <w:rsid w:val="765233FB"/>
    <w:rsid w:val="76560033"/>
    <w:rsid w:val="765750FC"/>
    <w:rsid w:val="7659095E"/>
    <w:rsid w:val="765A2E54"/>
    <w:rsid w:val="765C20F6"/>
    <w:rsid w:val="765D3600"/>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1C59"/>
    <w:rsid w:val="76932345"/>
    <w:rsid w:val="76947C92"/>
    <w:rsid w:val="76982F33"/>
    <w:rsid w:val="76A5622D"/>
    <w:rsid w:val="76A633ED"/>
    <w:rsid w:val="76A81D96"/>
    <w:rsid w:val="76AB5F51"/>
    <w:rsid w:val="76B02504"/>
    <w:rsid w:val="76B576A3"/>
    <w:rsid w:val="76B97863"/>
    <w:rsid w:val="76C36DA3"/>
    <w:rsid w:val="76C67CB0"/>
    <w:rsid w:val="76C955B2"/>
    <w:rsid w:val="76D03D47"/>
    <w:rsid w:val="76D271F9"/>
    <w:rsid w:val="76D3508F"/>
    <w:rsid w:val="76D364A5"/>
    <w:rsid w:val="76D723E3"/>
    <w:rsid w:val="76D84D57"/>
    <w:rsid w:val="76DB3BA3"/>
    <w:rsid w:val="76DC0FA8"/>
    <w:rsid w:val="76DD1650"/>
    <w:rsid w:val="76E02C24"/>
    <w:rsid w:val="76E27F1E"/>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6714D"/>
    <w:rsid w:val="77597E3E"/>
    <w:rsid w:val="77625740"/>
    <w:rsid w:val="77631446"/>
    <w:rsid w:val="77635AF7"/>
    <w:rsid w:val="77650E71"/>
    <w:rsid w:val="776873CB"/>
    <w:rsid w:val="7769549F"/>
    <w:rsid w:val="776A2493"/>
    <w:rsid w:val="776F52BC"/>
    <w:rsid w:val="7770604C"/>
    <w:rsid w:val="77714212"/>
    <w:rsid w:val="77761944"/>
    <w:rsid w:val="777C4D24"/>
    <w:rsid w:val="77823ED9"/>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24B3"/>
    <w:rsid w:val="77CE728E"/>
    <w:rsid w:val="77D20D74"/>
    <w:rsid w:val="77D27842"/>
    <w:rsid w:val="77D65549"/>
    <w:rsid w:val="77D73D98"/>
    <w:rsid w:val="77D7676B"/>
    <w:rsid w:val="77DA0D56"/>
    <w:rsid w:val="77DD7A01"/>
    <w:rsid w:val="77DF2B18"/>
    <w:rsid w:val="77DF391D"/>
    <w:rsid w:val="77DF4A52"/>
    <w:rsid w:val="77E0354E"/>
    <w:rsid w:val="77E30ECD"/>
    <w:rsid w:val="77E34F52"/>
    <w:rsid w:val="77E85C36"/>
    <w:rsid w:val="77EE30D2"/>
    <w:rsid w:val="77F061C4"/>
    <w:rsid w:val="77F332DF"/>
    <w:rsid w:val="77F630A0"/>
    <w:rsid w:val="78005696"/>
    <w:rsid w:val="78005B7D"/>
    <w:rsid w:val="780445C5"/>
    <w:rsid w:val="780551E7"/>
    <w:rsid w:val="78067A5B"/>
    <w:rsid w:val="780A565F"/>
    <w:rsid w:val="780B2FEF"/>
    <w:rsid w:val="780B65FF"/>
    <w:rsid w:val="780C15F4"/>
    <w:rsid w:val="780C5081"/>
    <w:rsid w:val="780F0AC0"/>
    <w:rsid w:val="7810621D"/>
    <w:rsid w:val="78114B77"/>
    <w:rsid w:val="7812520C"/>
    <w:rsid w:val="781935EC"/>
    <w:rsid w:val="781D006F"/>
    <w:rsid w:val="78213084"/>
    <w:rsid w:val="78213648"/>
    <w:rsid w:val="7827005C"/>
    <w:rsid w:val="78280CF1"/>
    <w:rsid w:val="78287DBF"/>
    <w:rsid w:val="78294ED1"/>
    <w:rsid w:val="782C38CF"/>
    <w:rsid w:val="782D43D1"/>
    <w:rsid w:val="78305E38"/>
    <w:rsid w:val="783328A6"/>
    <w:rsid w:val="783C4C63"/>
    <w:rsid w:val="783E427D"/>
    <w:rsid w:val="783F1D19"/>
    <w:rsid w:val="78433AD2"/>
    <w:rsid w:val="7845703E"/>
    <w:rsid w:val="784B2E74"/>
    <w:rsid w:val="784B334C"/>
    <w:rsid w:val="784D7A38"/>
    <w:rsid w:val="784F5DF6"/>
    <w:rsid w:val="7850331D"/>
    <w:rsid w:val="78520561"/>
    <w:rsid w:val="785364C5"/>
    <w:rsid w:val="78536AC3"/>
    <w:rsid w:val="785B4112"/>
    <w:rsid w:val="785E2773"/>
    <w:rsid w:val="78611B09"/>
    <w:rsid w:val="78631B96"/>
    <w:rsid w:val="7863501F"/>
    <w:rsid w:val="78640065"/>
    <w:rsid w:val="78682E27"/>
    <w:rsid w:val="786C5E43"/>
    <w:rsid w:val="786D24BE"/>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43694"/>
    <w:rsid w:val="78B459F2"/>
    <w:rsid w:val="78B50AB6"/>
    <w:rsid w:val="78B82EC3"/>
    <w:rsid w:val="78BB09E4"/>
    <w:rsid w:val="78BB4A70"/>
    <w:rsid w:val="78BE2FCD"/>
    <w:rsid w:val="78C02956"/>
    <w:rsid w:val="78C04A55"/>
    <w:rsid w:val="78C406B6"/>
    <w:rsid w:val="78C40BDA"/>
    <w:rsid w:val="78C95B09"/>
    <w:rsid w:val="78CA425E"/>
    <w:rsid w:val="78CC24F0"/>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05C60"/>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503033"/>
    <w:rsid w:val="795134B6"/>
    <w:rsid w:val="79543F7C"/>
    <w:rsid w:val="7955204F"/>
    <w:rsid w:val="795E06F8"/>
    <w:rsid w:val="79620926"/>
    <w:rsid w:val="79647074"/>
    <w:rsid w:val="79681A85"/>
    <w:rsid w:val="79694076"/>
    <w:rsid w:val="796B6EA2"/>
    <w:rsid w:val="796D0A0E"/>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C771D"/>
    <w:rsid w:val="799F269A"/>
    <w:rsid w:val="799F2CD5"/>
    <w:rsid w:val="79A85B1D"/>
    <w:rsid w:val="79B27C4C"/>
    <w:rsid w:val="79B622CB"/>
    <w:rsid w:val="79B70D80"/>
    <w:rsid w:val="79BD1149"/>
    <w:rsid w:val="79BD6F74"/>
    <w:rsid w:val="79BF551C"/>
    <w:rsid w:val="79C02E8B"/>
    <w:rsid w:val="79C16286"/>
    <w:rsid w:val="79C45829"/>
    <w:rsid w:val="79C634A3"/>
    <w:rsid w:val="79C66C2E"/>
    <w:rsid w:val="79C723A4"/>
    <w:rsid w:val="79C74587"/>
    <w:rsid w:val="79CA3BEB"/>
    <w:rsid w:val="79D24898"/>
    <w:rsid w:val="79DC22C0"/>
    <w:rsid w:val="79DC2596"/>
    <w:rsid w:val="79DF3AB5"/>
    <w:rsid w:val="79E05069"/>
    <w:rsid w:val="79EC2700"/>
    <w:rsid w:val="79ED6250"/>
    <w:rsid w:val="79F000FA"/>
    <w:rsid w:val="79F02DBF"/>
    <w:rsid w:val="79F213AE"/>
    <w:rsid w:val="79F44E29"/>
    <w:rsid w:val="79F778C7"/>
    <w:rsid w:val="79FD0561"/>
    <w:rsid w:val="79FE51D4"/>
    <w:rsid w:val="7A032AFE"/>
    <w:rsid w:val="7A040ABA"/>
    <w:rsid w:val="7A0419AF"/>
    <w:rsid w:val="7A065850"/>
    <w:rsid w:val="7A0738FC"/>
    <w:rsid w:val="7A097F01"/>
    <w:rsid w:val="7A0D5316"/>
    <w:rsid w:val="7A0D5907"/>
    <w:rsid w:val="7A117A90"/>
    <w:rsid w:val="7A1827A3"/>
    <w:rsid w:val="7A184673"/>
    <w:rsid w:val="7A1911C1"/>
    <w:rsid w:val="7A193AE2"/>
    <w:rsid w:val="7A194566"/>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61C4"/>
    <w:rsid w:val="7A522AD8"/>
    <w:rsid w:val="7A541CDF"/>
    <w:rsid w:val="7A5A3399"/>
    <w:rsid w:val="7A682849"/>
    <w:rsid w:val="7A6A4FB7"/>
    <w:rsid w:val="7A6B3DC0"/>
    <w:rsid w:val="7A6C33B7"/>
    <w:rsid w:val="7A6D7652"/>
    <w:rsid w:val="7A735108"/>
    <w:rsid w:val="7A743079"/>
    <w:rsid w:val="7A7676EB"/>
    <w:rsid w:val="7A77223D"/>
    <w:rsid w:val="7A786B63"/>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177D54"/>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523A"/>
    <w:rsid w:val="7B555750"/>
    <w:rsid w:val="7B592DDD"/>
    <w:rsid w:val="7B5A2D1F"/>
    <w:rsid w:val="7B5B00B0"/>
    <w:rsid w:val="7B5B06E6"/>
    <w:rsid w:val="7B5C27A5"/>
    <w:rsid w:val="7B602D97"/>
    <w:rsid w:val="7B61362C"/>
    <w:rsid w:val="7B613DFF"/>
    <w:rsid w:val="7B621F63"/>
    <w:rsid w:val="7B624E46"/>
    <w:rsid w:val="7B65732C"/>
    <w:rsid w:val="7B666080"/>
    <w:rsid w:val="7B72367F"/>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50A5F"/>
    <w:rsid w:val="7C272BC7"/>
    <w:rsid w:val="7C29156F"/>
    <w:rsid w:val="7C2A385D"/>
    <w:rsid w:val="7C2A435F"/>
    <w:rsid w:val="7C2D3878"/>
    <w:rsid w:val="7C2F4BB6"/>
    <w:rsid w:val="7C311E61"/>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17000"/>
    <w:rsid w:val="7C5478C1"/>
    <w:rsid w:val="7C5B13DA"/>
    <w:rsid w:val="7C5B35FA"/>
    <w:rsid w:val="7C614952"/>
    <w:rsid w:val="7C690B7A"/>
    <w:rsid w:val="7C6D473C"/>
    <w:rsid w:val="7C6E0CAE"/>
    <w:rsid w:val="7C6F0C97"/>
    <w:rsid w:val="7C7147EA"/>
    <w:rsid w:val="7C7241D4"/>
    <w:rsid w:val="7C7B1E57"/>
    <w:rsid w:val="7C7C3178"/>
    <w:rsid w:val="7C7D2EA6"/>
    <w:rsid w:val="7C82181A"/>
    <w:rsid w:val="7C8505B4"/>
    <w:rsid w:val="7C892B5F"/>
    <w:rsid w:val="7C8B4BD5"/>
    <w:rsid w:val="7C8E642B"/>
    <w:rsid w:val="7C951E23"/>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70AA"/>
    <w:rsid w:val="7CD215D3"/>
    <w:rsid w:val="7CD258A4"/>
    <w:rsid w:val="7CD31C3B"/>
    <w:rsid w:val="7CD60EFF"/>
    <w:rsid w:val="7CD853D0"/>
    <w:rsid w:val="7CDD2005"/>
    <w:rsid w:val="7CE0294B"/>
    <w:rsid w:val="7CE12241"/>
    <w:rsid w:val="7CE279E8"/>
    <w:rsid w:val="7CE54C48"/>
    <w:rsid w:val="7CE71C50"/>
    <w:rsid w:val="7CE72B24"/>
    <w:rsid w:val="7CE8356A"/>
    <w:rsid w:val="7CE8695A"/>
    <w:rsid w:val="7CEF038B"/>
    <w:rsid w:val="7CF82FD7"/>
    <w:rsid w:val="7CF97B72"/>
    <w:rsid w:val="7D003EBD"/>
    <w:rsid w:val="7D05361D"/>
    <w:rsid w:val="7D062AC2"/>
    <w:rsid w:val="7D0F099F"/>
    <w:rsid w:val="7D114EC3"/>
    <w:rsid w:val="7D11738B"/>
    <w:rsid w:val="7D130380"/>
    <w:rsid w:val="7D152E85"/>
    <w:rsid w:val="7D18797C"/>
    <w:rsid w:val="7D1D06F9"/>
    <w:rsid w:val="7D2174C4"/>
    <w:rsid w:val="7D286283"/>
    <w:rsid w:val="7D2A532B"/>
    <w:rsid w:val="7D2F0219"/>
    <w:rsid w:val="7D303C80"/>
    <w:rsid w:val="7D341BC8"/>
    <w:rsid w:val="7D362C66"/>
    <w:rsid w:val="7D377DFE"/>
    <w:rsid w:val="7D381EF2"/>
    <w:rsid w:val="7D3922EA"/>
    <w:rsid w:val="7D3C3AA2"/>
    <w:rsid w:val="7D3C547D"/>
    <w:rsid w:val="7D3E4B1B"/>
    <w:rsid w:val="7D405AA6"/>
    <w:rsid w:val="7D4246D2"/>
    <w:rsid w:val="7D436EF5"/>
    <w:rsid w:val="7D4A7FBA"/>
    <w:rsid w:val="7D50176E"/>
    <w:rsid w:val="7D51035F"/>
    <w:rsid w:val="7D512D55"/>
    <w:rsid w:val="7D5142E5"/>
    <w:rsid w:val="7D543B71"/>
    <w:rsid w:val="7D5709AE"/>
    <w:rsid w:val="7D5813FC"/>
    <w:rsid w:val="7D5E2E71"/>
    <w:rsid w:val="7D60101D"/>
    <w:rsid w:val="7D611A6B"/>
    <w:rsid w:val="7D635AD2"/>
    <w:rsid w:val="7D6420DE"/>
    <w:rsid w:val="7D647CF1"/>
    <w:rsid w:val="7D693A8F"/>
    <w:rsid w:val="7D6A64FB"/>
    <w:rsid w:val="7D6B7110"/>
    <w:rsid w:val="7D6E3B3C"/>
    <w:rsid w:val="7D6F5BF1"/>
    <w:rsid w:val="7D7567BB"/>
    <w:rsid w:val="7D793716"/>
    <w:rsid w:val="7D7C7F13"/>
    <w:rsid w:val="7D7D670C"/>
    <w:rsid w:val="7D7E4EE9"/>
    <w:rsid w:val="7D82384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E5ECB"/>
    <w:rsid w:val="7DC4752C"/>
    <w:rsid w:val="7DC55AE8"/>
    <w:rsid w:val="7DC932A8"/>
    <w:rsid w:val="7DCB15B2"/>
    <w:rsid w:val="7DD100AB"/>
    <w:rsid w:val="7DD370F6"/>
    <w:rsid w:val="7DD563EE"/>
    <w:rsid w:val="7DD70066"/>
    <w:rsid w:val="7DD85DBE"/>
    <w:rsid w:val="7DDA4118"/>
    <w:rsid w:val="7DDE0133"/>
    <w:rsid w:val="7DDF7EB7"/>
    <w:rsid w:val="7DE03708"/>
    <w:rsid w:val="7DE12F5B"/>
    <w:rsid w:val="7DE41BD4"/>
    <w:rsid w:val="7DE71751"/>
    <w:rsid w:val="7DE750D0"/>
    <w:rsid w:val="7DE76338"/>
    <w:rsid w:val="7DE80CAF"/>
    <w:rsid w:val="7DE8415F"/>
    <w:rsid w:val="7DE96EA5"/>
    <w:rsid w:val="7DE97F44"/>
    <w:rsid w:val="7DEA6081"/>
    <w:rsid w:val="7DF13EAA"/>
    <w:rsid w:val="7DF24038"/>
    <w:rsid w:val="7DF3170A"/>
    <w:rsid w:val="7DF742E6"/>
    <w:rsid w:val="7DFB6E6E"/>
    <w:rsid w:val="7DFC489D"/>
    <w:rsid w:val="7E034220"/>
    <w:rsid w:val="7E0753BF"/>
    <w:rsid w:val="7E07626E"/>
    <w:rsid w:val="7E0972BA"/>
    <w:rsid w:val="7E0976BF"/>
    <w:rsid w:val="7E0E68FC"/>
    <w:rsid w:val="7E0F2115"/>
    <w:rsid w:val="7E0F2C81"/>
    <w:rsid w:val="7E0F3EA6"/>
    <w:rsid w:val="7E0F4721"/>
    <w:rsid w:val="7E1242D7"/>
    <w:rsid w:val="7E1246DB"/>
    <w:rsid w:val="7E165F0E"/>
    <w:rsid w:val="7E1726D8"/>
    <w:rsid w:val="7E1A6493"/>
    <w:rsid w:val="7E1D0F6C"/>
    <w:rsid w:val="7E1E6DC0"/>
    <w:rsid w:val="7E20169A"/>
    <w:rsid w:val="7E274023"/>
    <w:rsid w:val="7E2B327F"/>
    <w:rsid w:val="7E2D5152"/>
    <w:rsid w:val="7E3118B9"/>
    <w:rsid w:val="7E34721A"/>
    <w:rsid w:val="7E3508C6"/>
    <w:rsid w:val="7E371933"/>
    <w:rsid w:val="7E377DFA"/>
    <w:rsid w:val="7E386871"/>
    <w:rsid w:val="7E396410"/>
    <w:rsid w:val="7E3A049A"/>
    <w:rsid w:val="7E3B1C7F"/>
    <w:rsid w:val="7E400FA8"/>
    <w:rsid w:val="7E423A55"/>
    <w:rsid w:val="7E426BF0"/>
    <w:rsid w:val="7E47196B"/>
    <w:rsid w:val="7E471DE5"/>
    <w:rsid w:val="7E475129"/>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7006E"/>
    <w:rsid w:val="7E971EC6"/>
    <w:rsid w:val="7E986288"/>
    <w:rsid w:val="7E991A2E"/>
    <w:rsid w:val="7E996026"/>
    <w:rsid w:val="7E996FB8"/>
    <w:rsid w:val="7E997CE1"/>
    <w:rsid w:val="7E9B530E"/>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92461"/>
    <w:rsid w:val="7ECB640A"/>
    <w:rsid w:val="7ECD65C3"/>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1643E8"/>
    <w:rsid w:val="7F203CCA"/>
    <w:rsid w:val="7F235B45"/>
    <w:rsid w:val="7F2371D0"/>
    <w:rsid w:val="7F25457C"/>
    <w:rsid w:val="7F27211B"/>
    <w:rsid w:val="7F2B6FB0"/>
    <w:rsid w:val="7F2F17E7"/>
    <w:rsid w:val="7F313413"/>
    <w:rsid w:val="7F3C3603"/>
    <w:rsid w:val="7F443395"/>
    <w:rsid w:val="7F454A70"/>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812CE"/>
    <w:rsid w:val="7F69519A"/>
    <w:rsid w:val="7F6F3CD1"/>
    <w:rsid w:val="7F70218A"/>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22BE"/>
    <w:rsid w:val="7F9E68C5"/>
    <w:rsid w:val="7F9F1E71"/>
    <w:rsid w:val="7F9F3CC1"/>
    <w:rsid w:val="7FA54FB8"/>
    <w:rsid w:val="7FA73562"/>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147A"/>
    <w:rsid w:val="7FE17C1C"/>
    <w:rsid w:val="7FE62B41"/>
    <w:rsid w:val="7FE97CF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9"/>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35"/>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0"/>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Balloon Text Char"/>
    <w:link w:val="21"/>
    <w:semiHidden/>
    <w:qFormat/>
    <w:uiPriority w:val="99"/>
    <w:rPr>
      <w:rFonts w:ascii="Tahoma" w:hAnsi="Tahoma" w:cs="Tahoma"/>
      <w:sz w:val="16"/>
      <w:szCs w:val="16"/>
    </w:rPr>
  </w:style>
  <w:style w:type="character" w:customStyle="1" w:styleId="36">
    <w:name w:val="Heading 1 Char"/>
    <w:link w:val="2"/>
    <w:qFormat/>
    <w:uiPriority w:val="99"/>
    <w:rPr>
      <w:rFonts w:ascii="Arial" w:hAnsi="Arial" w:eastAsia="黑体"/>
      <w:b/>
      <w:bCs/>
      <w:sz w:val="30"/>
      <w:szCs w:val="30"/>
      <w:lang w:val="zh-CN" w:eastAsia="zh-CN"/>
    </w:rPr>
  </w:style>
  <w:style w:type="character" w:customStyle="1" w:styleId="37">
    <w:name w:val="Header Char"/>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Comment Text Char"/>
    <w:basedOn w:val="29"/>
    <w:link w:val="15"/>
    <w:qFormat/>
    <w:uiPriority w:val="99"/>
  </w:style>
  <w:style w:type="character" w:customStyle="1" w:styleId="40">
    <w:name w:val="Comment Subject Char"/>
    <w:link w:val="26"/>
    <w:semiHidden/>
    <w:qFormat/>
    <w:uiPriority w:val="99"/>
    <w:rPr>
      <w:b/>
      <w:bCs/>
    </w:rPr>
  </w:style>
  <w:style w:type="character" w:customStyle="1" w:styleId="41">
    <w:name w:val="Document Map Char"/>
    <w:link w:val="14"/>
    <w:semiHidden/>
    <w:qFormat/>
    <w:uiPriority w:val="99"/>
    <w:rPr>
      <w:rFonts w:ascii="宋体"/>
      <w:sz w:val="18"/>
      <w:szCs w:val="18"/>
    </w:rPr>
  </w:style>
  <w:style w:type="character" w:customStyle="1" w:styleId="42">
    <w:name w:val="Body Text Char"/>
    <w:link w:val="16"/>
    <w:qFormat/>
    <w:uiPriority w:val="0"/>
    <w:rPr>
      <w:rFonts w:ascii="Times New Roman" w:hAnsi="Times New Roman"/>
      <w:color w:val="0000FF"/>
      <w:kern w:val="2"/>
      <w:sz w:val="21"/>
    </w:rPr>
  </w:style>
  <w:style w:type="character" w:customStyle="1" w:styleId="43">
    <w:name w:val="Caption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Footer Char"/>
    <w:link w:val="22"/>
    <w:qFormat/>
    <w:uiPriority w:val="99"/>
    <w:rPr>
      <w:sz w:val="18"/>
      <w:szCs w:val="18"/>
    </w:rPr>
  </w:style>
  <w:style w:type="character" w:customStyle="1" w:styleId="46">
    <w:name w:val="Heading 2 Char"/>
    <w:link w:val="3"/>
    <w:qFormat/>
    <w:uiPriority w:val="0"/>
    <w:rPr>
      <w:rFonts w:ascii="Cambria" w:hAnsi="Cambria"/>
      <w:b/>
      <w:bCs/>
      <w:sz w:val="32"/>
      <w:szCs w:val="32"/>
      <w:lang w:val="en-US" w:eastAsia="zh-CN"/>
    </w:rPr>
  </w:style>
  <w:style w:type="character" w:customStyle="1" w:styleId="47">
    <w:name w:val="Heading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Date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Plain Text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Heading 4 Char"/>
    <w:link w:val="5"/>
    <w:qFormat/>
    <w:uiPriority w:val="0"/>
    <w:rPr>
      <w:rFonts w:ascii="Times New Roman" w:hAnsi="Times New Roman"/>
      <w:b/>
      <w:sz w:val="28"/>
      <w:szCs w:val="28"/>
      <w:lang w:val="en-GB"/>
    </w:rPr>
  </w:style>
  <w:style w:type="character" w:customStyle="1" w:styleId="67">
    <w:name w:val="Heading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Body Text Indent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 w:type="character" w:customStyle="1" w:styleId="119">
    <w:name w:val="x_contentpasted0"/>
    <w:qFormat/>
    <w:uiPriority w:val="0"/>
  </w:style>
  <w:style w:type="character" w:customStyle="1" w:styleId="120">
    <w:name w:val="contentpasted0"/>
    <w:qFormat/>
    <w:uiPriority w:val="0"/>
  </w:style>
  <w:style w:type="paragraph" w:customStyle="1" w:styleId="121">
    <w:name w:val="elementtoproof"/>
    <w:basedOn w:val="1"/>
    <w:semiHidden/>
    <w:qFormat/>
    <w:uiPriority w:val="99"/>
    <w:rPr>
      <w:rFonts w:ascii="Times New Roman" w:hAnsi="Times New Roman" w:eastAsia="Malgun Gothic"/>
      <w:sz w:val="24"/>
      <w:lang w:eastAsia="ko-KR"/>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2.bin"/><Relationship Id="rId12" Type="http://schemas.openxmlformats.org/officeDocument/2006/relationships/image" Target="media/image7.wmf"/><Relationship Id="rId11" Type="http://schemas.openxmlformats.org/officeDocument/2006/relationships/oleObject" Target="embeddings/oleObject1.bin"/><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52D5D0-7696-49C1-B024-C7786D83501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14</Pages>
  <Words>4449</Words>
  <Characters>25360</Characters>
  <Lines>211</Lines>
  <Paragraphs>59</Paragraphs>
  <TotalTime>23</TotalTime>
  <ScaleCrop>false</ScaleCrop>
  <LinksUpToDate>false</LinksUpToDate>
  <CharactersWithSpaces>29750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2022-09-29T06:27:00Z</dcterms:created>
  <dc:creator>ZTE</dc:creator>
  <cp:lastModifiedBy>ZTE</cp:lastModifiedBy>
  <dcterms:modified xsi:type="dcterms:W3CDTF">2022-11-07T08:32:52Z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